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-756285</wp:posOffset>
                </wp:positionH>
                <wp:positionV relativeFrom="margin">
                  <wp:posOffset>622935</wp:posOffset>
                </wp:positionV>
                <wp:extent cx="6838950" cy="4448175"/>
                <wp:effectExtent l="19050" t="0" r="0" b="0"/>
                <wp:wrapSquare wrapText="bothSides"/>
                <wp:docPr id="1" name="Рисунок 1" descr="MM_shadow-people-illu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MM_shadow-people-illu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6838950" cy="444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argin-left:-59.55pt;mso-position-horizontal:absolute;mso-position-vertical-relative:margin;margin-top:49.05pt;mso-position-vertical:absolute;width:538.50pt;height:350.25pt;mso-wrap-distance-left:9.00pt;mso-wrap-distance-top:0.00pt;mso-wrap-distance-right:9.00pt;mso-wrap-distance-bottom:0.00pt;" stroked="f" strokeweight="0.75pt">
                <v:path textboxrect="0,0,0,0"/>
                <w10:wrap type="square"/>
                <v:imagedata r:id="rId11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ИНФОРМАЦИОННЫЙ ВЫПУСК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«Об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оказании услуг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сфере государственного кадастрового учета, государственной регистрации прав 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предоставления сведений из ЕГРН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ОТДЕЛ ПРАВОВОГО ОБЕСПЕЧЕНИЯ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УПРАВЛЕНИЯ РОСРЕЕСТРА ПО НОВОСИБИРСКОЙ ОБЛАСТИ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1025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Новости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одательства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1025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</w:rPr>
      </w:r>
    </w:p>
    <w:p>
      <w:pPr>
        <w:pStyle w:val="1025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1. Постановление Правительства РФ от 29.01.2025 № 69 «Об утверждении Положения о порядке и критериях определения перечня кадастровых кварталов, на территориях которых предусматривается выполнение комплексных кадастровых работ федерального значения».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6 февраля вводится положение о порядке и критериях определения перечня кадастровых кварталов, на территориях которых предусматривается выполнение комплексных кадастровых работ федерального значения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Перечень кадастровых кварталов подготавливается Росреестром на основании предложений (заявок) высших исполнительных органов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субъектов РФ и предложений ППК «Роскадастр» (далее - компания).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Не позднее 1 апреля года, предшествующего году предоставления компании субсидии на выполнение комплексных кадастровых работ федерального значения, высшие исполнительные органы субъектов РФ направляют предложения (заявки) в Росреестр.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 в соответствии с критериями определяет кадастровые кварталы, на территориях которых предусматривается выполнение комплексных кадастровых работ федерального значения, исходя из коэффициента значимости кадастрового квартала.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Кадастровый квартал включается в перечень кадастровых кварталов исходя из полученного з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начения коэффициента значимости кадастрового квартала (от большего значения указанного коэффициента к меньшему). Кадастровый квартал не подлежит включению в перечень кадастровых кварталов в случае, если коэффициент значимости кадастрового квартала равен 0.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Перечень кадастровых кварталов, подготовленный Росреестром, направляется в компанию для представления компанией предложений.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Предложения компании по итогам рассмотрения перечня кадастровых кварталов могут содержать рекомендации о дополнении или об изменении перечня кадастровых кварталов либо об отсутствии необходимости изменения перечня кадастровых кварталов.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 рассматривает поступившие предложения компании с учетом представленных обоснований и формирует перечень кадастровых кварталов в окончательной редакции.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Установлено, что перечень кадастровых кварталов, на территориях которых предусматривается выполнение комплексных кадастровых работ федерального значени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я в 2025 году, определяется Росреестром на основании перечней кадастровых кварталов, в границах которых предусматривается выполнение комплексных кадастровых работ, прилагаемых к заявкам высш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их исполнительных органов субъектов РФ представленным в Росреестр.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2. Проект Федерального закона № 836655-8 «О внесении изменений в отдельные законодательные акты Российской Федерации»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(в части совершенствования нормативно-правового регулирования в сфере государственной кадастровой оценки).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Установление кадастровой стоимости в размере рыночной: проект об уточнении порядка внесен в Госдуму.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Согласно поправкам нужно согласие собственника недвижимости, чтобы, например, ее аренда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тор мог подать заявление об установлении кадастровой стоимости в размере рыночной. Норму не распространят на публичные объекты. Ранее Пленум ВС РФ давал сходные разъяснения об оспаривании стоимости арендатором по правилам, которые не применяют с 2024 года.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согласии надо указать кадастровый номер объекта и данные собственника: Ф.И.О. физлица или полное название компании, адрес и электронную почту, если она есть. Документ нужно приложить к заявлению.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есть хотя бы 1 из оснований вернуть заявление без рассмотрения, это сделают в течение 5 рабочих дней с даты его поступления. Пока срок не определен. По мнению Росреестра, на возврат отводится 30 календарных дней с того же момента.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Все эти поправки могут заработать через 10 календарных дней после опубликования закона.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1 января 2026 года копии решений будут направлять в течение 5 рабочих дней с даты принятия, в частности, заявителям и собственникам. Сейчас копии представляют в тот же срок в Росреестр и по его рекомендации заявителям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shd w:val="nil"/>
        <w:rPr>
          <w:rFonts w:ascii="Times New Roman" w:hAnsi="Times New Roman" w:cs="Times New Roman"/>
          <w:b/>
          <w:bCs/>
          <w:i/>
          <w:sz w:val="28"/>
          <w:szCs w:val="28"/>
        </w:rPr>
        <w:suppressLineNumbers w:val="0"/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bCs/>
          <w:i/>
          <w:sz w:val="28"/>
          <w:szCs w:val="28"/>
        </w:rPr>
      </w:r>
    </w:p>
    <w:p>
      <w:pPr>
        <w:pStyle w:val="1025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нформационные письма и разъяснения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сфере государственного кадастрового учета и (или) государственной регистрации 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ав, материалы судебной практики</w:t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1025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i/>
          <w:sz w:val="28"/>
          <w:szCs w:val="28"/>
          <w:highlight w:val="none"/>
        </w:rPr>
      </w:r>
    </w:p>
    <w:p>
      <w:pPr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Приказ Росреестра от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22.10.2024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№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П/0326/24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«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О внесении изменений в приложения № 1 и № 2 к приказу Росреестра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от 19 апреля 2022 г. № П/0148 «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Об утверждении требований к подгото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вке схемы расположения земельного участка или земельных участков на кадас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земельных участков на кадастровом плане территории в форме электронного документа, формы схемы расположения земельного участка или земельных участков на кадастровом плане территории, подготовка которой осуществляется в форме документа на бумажном носителе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».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14:ligatures w14:val="none"/>
        </w:rPr>
      </w:r>
    </w:p>
    <w:p>
      <w:pPr>
        <w:pStyle w:val="1017"/>
        <w:rPr>
          <w:b/>
        </w:rPr>
      </w:pPr>
      <w:r>
        <w:rPr>
          <w:lang w:eastAsia="ru-RU"/>
        </w:rPr>
      </w: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798044" cy="5165789"/>
                <wp:effectExtent l="6350" t="6350" r="6350" b="6350"/>
                <wp:docPr id="2" name="_x0000_i104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7324031" name="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flipH="0" flipV="0">
                          <a:off x="0" y="0"/>
                          <a:ext cx="2798043" cy="51657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20.32pt;height:406.76pt;mso-wrap-distance-left:0.00pt;mso-wrap-distance-top:0.00pt;mso-wrap-distance-right:0.00pt;mso-wrap-distance-bottom:0.00pt;" stroked="f">
                <v:path textboxrect="0,0,0,0"/>
                <v:imagedata r:id="rId12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393646"/>
                <wp:effectExtent l="0" t="0" r="0" b="0"/>
                <wp:docPr id="3" name="_x0000_i10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400877" name="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39941" cy="839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71pt;height:660.92pt;mso-wrap-distance-left:0.00pt;mso-wrap-distance-top:0.00pt;mso-wrap-distance-right:0.00pt;mso-wrap-distance-bottom:0.00pt;" stroked="f">
                <v:path textboxrect="0,0,0,0"/>
                <v:imagedata r:id="rId13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393646"/>
                <wp:effectExtent l="0" t="0" r="0" b="0"/>
                <wp:docPr id="4" name="_x0000_i104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07086563" name="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939941" cy="839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71pt;height:660.92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393646"/>
                <wp:effectExtent l="0" t="0" r="0" b="0"/>
                <wp:docPr id="5" name="_x0000_i104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4506717" name=""/>
                        <pic:cNvPicPr/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39941" cy="839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71pt;height:660.92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393646"/>
                <wp:effectExtent l="0" t="0" r="0" b="0"/>
                <wp:docPr id="6" name="_x0000_i10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0576524" name=""/>
                        <pic:cNvPicPr/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939941" cy="839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71pt;height:660.92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10784" cy="7773429"/>
                <wp:effectExtent l="0" t="0" r="0" b="0"/>
                <wp:docPr id="7" name="_x0000_i104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0015479" name=""/>
                        <pic:cNvPicPr/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510783" cy="77734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33.92pt;height:612.08pt;mso-wrap-distance-left:0.00pt;mso-wrap-distance-top:0.00pt;mso-wrap-distance-right:0.00pt;mso-wrap-distance-bottom:0.00pt;" stroked="f">
                <v:path textboxrect="0,0,0,0"/>
                <v:imagedata r:id="rId17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jc w:val="both"/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pPr>
      <w:r>
        <w:rPr>
          <w:lang w:eastAsia="ru-RU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pStyle w:val="1066"/>
        <w:ind w:left="-142" w:firstLine="851"/>
        <w:spacing w:after="160" w:line="259" w:lineRule="auto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t xml:space="preserve">2. </w:t>
      </w:r>
      <w:r>
        <w:rPr>
          <w:rFonts w:eastAsia="Times New Roman"/>
          <w:b/>
          <w:lang w:eastAsia="ru-RU"/>
        </w:rPr>
        <w:t xml:space="preserve">Информация Росреестра переходе </w:t>
      </w:r>
      <w:r>
        <w:rPr>
          <w:rFonts w:eastAsia="Times New Roman"/>
          <w:b/>
          <w:lang w:eastAsia="ru-RU"/>
        </w:rPr>
        <w:t xml:space="preserve">на электронное взаимодействие с юридическими лицами</w:t>
      </w:r>
      <w:r>
        <w:rPr>
          <w:rFonts w:eastAsia="Times New Roman"/>
          <w:b/>
          <w:lang w:eastAsia="ru-RU"/>
        </w:rPr>
        <w:t xml:space="preserve">.</w:t>
      </w:r>
      <w:r>
        <w:rPr>
          <w:rFonts w:eastAsia="Times New Roman"/>
          <w:b/>
          <w:lang w:eastAsia="ru-RU"/>
        </w:rPr>
      </w:r>
      <w:r>
        <w:rPr>
          <w:rFonts w:eastAsia="Times New Roman"/>
          <w:b/>
          <w:lang w:eastAsia="ru-RU"/>
        </w:rPr>
      </w:r>
    </w:p>
    <w:p>
      <w:pPr>
        <w:pStyle w:val="1059"/>
        <w:jc w:val="center"/>
      </w:pPr>
      <w:r>
        <w:t xml:space="preserve">ФЕДЕРАЛЬНАЯ СЛУЖБА ГОСУДАРСТВЕННОЙ РЕГИСТРАЦИИ,</w:t>
      </w:r>
      <w:r/>
    </w:p>
    <w:p>
      <w:pPr>
        <w:pStyle w:val="1059"/>
        <w:jc w:val="center"/>
      </w:pPr>
      <w:r>
        <w:t xml:space="preserve">КАДАСТРА И КАРТОГРАФИИ</w:t>
      </w:r>
      <w:r/>
    </w:p>
    <w:p>
      <w:pPr>
        <w:pStyle w:val="1059"/>
        <w:jc w:val="center"/>
      </w:pPr>
      <w:r/>
      <w:r/>
    </w:p>
    <w:p>
      <w:pPr>
        <w:pStyle w:val="1059"/>
        <w:jc w:val="center"/>
      </w:pPr>
      <w:r>
        <w:t xml:space="preserve">ИНФОРМАЦИЯ</w:t>
      </w:r>
      <w:r/>
    </w:p>
    <w:p>
      <w:pPr>
        <w:pStyle w:val="1059"/>
        <w:jc w:val="center"/>
      </w:pPr>
      <w:r/>
      <w:r/>
    </w:p>
    <w:p>
      <w:pPr>
        <w:pStyle w:val="1059"/>
        <w:jc w:val="center"/>
      </w:pPr>
      <w:r>
        <w:t xml:space="preserve">РОСРЕЕСТР ПОЛНОСТЬЮ ПЕРЕХОДИТ</w:t>
      </w:r>
      <w:r/>
    </w:p>
    <w:p>
      <w:pPr>
        <w:pStyle w:val="1059"/>
        <w:jc w:val="center"/>
      </w:pPr>
      <w:r>
        <w:t xml:space="preserve">НА ЭЛЕКТРОННОЕ ВЗАИМОДЕЙСТВИЕ С ЮРИДИЧЕСКИМИ ЛИЦАМИ</w:t>
      </w:r>
      <w:r/>
    </w:p>
    <w:p>
      <w:pPr>
        <w:pStyle w:val="1025"/>
        <w:jc w:val="both"/>
      </w:pPr>
      <w:r/>
      <w:r/>
    </w:p>
    <w:p>
      <w:pPr>
        <w:pStyle w:val="1025"/>
        <w:ind w:firstLine="540"/>
        <w:jc w:val="both"/>
      </w:pPr>
      <w:r>
        <w:t xml:space="preserve">С 1 марта 2025 года вступает в силу Федеральный </w:t>
      </w:r>
      <w:r>
        <w:fldChar w:fldCharType="begin"/>
      </w:r>
      <w:r>
        <w:instrText xml:space="preserve"> HYPERLINK "https://login.consultant.ru/link/?req=doc&amp;base=LAW&amp;n=494419" \h </w:instrText>
      </w:r>
      <w:r>
        <w:fldChar w:fldCharType="separate"/>
      </w:r>
      <w:r>
        <w:t xml:space="preserve">закон</w:t>
      </w:r>
      <w:r>
        <w:fldChar w:fldCharType="end"/>
      </w:r>
      <w:r>
        <w:t xml:space="preserve"> от 26.12.2024 N 4</w:t>
      </w:r>
      <w:r>
        <w:t xml:space="preserve">87-ФЗ "О внесении изменений в отдельные законодательные акты Российской Федерации", который определяет порядок электронного взаимодействия между Росреестром и юридическими лицами. Росреестр разработал методичку, которая поможет разобраться во всех нюансах.</w:t>
      </w:r>
      <w:r/>
    </w:p>
    <w:p>
      <w:pPr>
        <w:pStyle w:val="1025"/>
        <w:ind w:firstLine="540"/>
        <w:jc w:val="both"/>
        <w:spacing w:before="220"/>
      </w:pPr>
      <w:r>
        <w:t xml:space="preserve">Согласно новым прав</w:t>
      </w:r>
      <w:r>
        <w:t xml:space="preserve">илам, с 1 марта 2025 года юридические лица должны подавать заявления на государственный кадастровый учет и государственную регистрацию прав с прилагаемыми к ним документами только в электронной форме. Бумажные документы будут возвращаться без рассмотрения.</w:t>
      </w:r>
      <w:r/>
    </w:p>
    <w:p>
      <w:pPr>
        <w:pStyle w:val="1025"/>
        <w:ind w:firstLine="540"/>
        <w:jc w:val="both"/>
        <w:spacing w:before="220"/>
      </w:pPr>
      <w:r>
        <w:t xml:space="preserve">Исключением </w:t>
      </w:r>
      <w:r>
        <w:t xml:space="preserve">являются случаи, когда стороной сделки, подлежащей государственной регистрации, или сделки, на основании которой регистрируется соответствующее право (ограничение или обременение), является физическое лицо (кроме договоров участия в долевом строительстве).</w:t>
      </w:r>
      <w:r/>
    </w:p>
    <w:p>
      <w:pPr>
        <w:pStyle w:val="1025"/>
        <w:ind w:firstLine="540"/>
        <w:jc w:val="both"/>
        <w:spacing w:before="220"/>
      </w:pPr>
      <w:r>
        <w:t xml:space="preserve">Возможность подачи в регистрирующий орган заявления на бума</w:t>
      </w:r>
      <w:r>
        <w:t xml:space="preserve">жном носителе сохранится до 1 января 2026 г. за рядом юридических лиц: крестьянскими (фермерскими) хозяйствами, садоводческими и огородническими товариществами, гаражными, жилищными и жилищно-строительными кооперативами, товариществами собственников жилья.</w:t>
      </w:r>
      <w:r/>
    </w:p>
    <w:p>
      <w:pPr>
        <w:pStyle w:val="1025"/>
        <w:ind w:firstLine="540"/>
        <w:jc w:val="both"/>
        <w:spacing w:before="220"/>
      </w:pPr>
      <w:r>
        <w:t xml:space="preserve">Законом также установлено, что юридическое лицо вправе подать документы в регистрирующий орган на бумажном носителе при наличии временной технической невозможности обращения в электронной форме.</w:t>
      </w:r>
      <w:r/>
    </w:p>
    <w:p>
      <w:pPr>
        <w:pStyle w:val="1025"/>
        <w:jc w:val="both"/>
      </w:pPr>
      <w:r/>
      <w:r/>
    </w:p>
    <w:p>
      <w:pPr>
        <w:pStyle w:val="1059"/>
        <w:ind w:firstLine="540"/>
        <w:jc w:val="both"/>
        <w:outlineLvl w:val="0"/>
      </w:pPr>
      <w:r>
        <w:t xml:space="preserve">Регистрация договоров участия в долевом строительстве</w:t>
      </w:r>
      <w:r/>
    </w:p>
    <w:p>
      <w:pPr>
        <w:pStyle w:val="1025"/>
        <w:ind w:firstLine="540"/>
        <w:jc w:val="both"/>
        <w:spacing w:before="220"/>
      </w:pPr>
      <w:r>
        <w:t xml:space="preserve">Договоры участия в долевом строительстве предоставляются на государственную регистрацию только в форме электронных документов. Подписанный собственноручными подписями скан-образ бумажного договора не является электронным документом.</w:t>
      </w:r>
      <w:r/>
    </w:p>
    <w:p>
      <w:pPr>
        <w:pStyle w:val="1025"/>
        <w:ind w:firstLine="540"/>
        <w:jc w:val="both"/>
        <w:spacing w:before="220"/>
      </w:pPr>
      <w:r>
        <w:t xml:space="preserve">Закон также обязал застройщиков после подписания передаточного акта самостоятельно направлять в Росреестр заявления и документы для государственной регистрации права собственности участника долевого строительства исключительно в электронной форме.</w:t>
      </w:r>
      <w:r/>
    </w:p>
    <w:p>
      <w:pPr>
        <w:pStyle w:val="1025"/>
        <w:ind w:firstLine="540"/>
        <w:jc w:val="both"/>
        <w:spacing w:before="220"/>
      </w:pPr>
      <w:r>
        <w:t xml:space="preserve">Таким образом, электронный формат взаимодействия застройщиков с регистрирующим органом будет обязательным.</w:t>
      </w:r>
      <w:r/>
    </w:p>
    <w:p>
      <w:pPr>
        <w:pStyle w:val="1025"/>
        <w:ind w:firstLine="540"/>
        <w:jc w:val="both"/>
        <w:spacing w:before="220"/>
      </w:pPr>
      <w:r>
        <w:t xml:space="preserve">После завершения процедуры регистрации застройщик должен передать участнику долевого строительства выписку из Единого государственного реестра недвижимости.</w:t>
      </w:r>
      <w:r/>
    </w:p>
    <w:p>
      <w:pPr>
        <w:pStyle w:val="1025"/>
        <w:jc w:val="both"/>
      </w:pPr>
      <w:r/>
      <w:r/>
    </w:p>
    <w:p>
      <w:pPr>
        <w:pStyle w:val="1059"/>
        <w:ind w:firstLine="540"/>
        <w:jc w:val="both"/>
        <w:rPr>
          <w:rFonts w:eastAsia="Calibri"/>
          <w:b w:val="0"/>
          <w:szCs w:val="28"/>
        </w:rPr>
        <w:outlineLvl w:val="0"/>
      </w:pPr>
      <w:r>
        <w:rPr>
          <w:rFonts w:eastAsia="Calibri"/>
          <w:b w:val="0"/>
          <w:szCs w:val="28"/>
        </w:rPr>
        <w:t xml:space="preserve">Способы подачи электронных документов в Росреестр</w:t>
      </w:r>
      <w:r>
        <w:rPr>
          <w:rFonts w:eastAsia="Calibri"/>
          <w:b w:val="0"/>
          <w:szCs w:val="28"/>
        </w:rPr>
      </w:r>
      <w:r>
        <w:rPr>
          <w:rFonts w:eastAsia="Calibri"/>
          <w:b w:val="0"/>
          <w:szCs w:val="28"/>
        </w:rPr>
      </w:r>
    </w:p>
    <w:p>
      <w:pPr>
        <w:pStyle w:val="1025"/>
        <w:ind w:firstLine="540"/>
        <w:jc w:val="both"/>
        <w:spacing w:before="220"/>
      </w:pPr>
      <w:r>
        <w:t xml:space="preserve">- Личный кабинет на официальном сайте Росреестра;</w:t>
      </w:r>
      <w:r/>
    </w:p>
    <w:p>
      <w:pPr>
        <w:pStyle w:val="1025"/>
        <w:ind w:firstLine="540"/>
        <w:jc w:val="both"/>
        <w:spacing w:before="220"/>
      </w:pPr>
      <w:r>
        <w:t xml:space="preserve">- Сервис прямого доступа (СПД-3);</w:t>
      </w:r>
      <w:r/>
    </w:p>
    <w:p>
      <w:pPr>
        <w:pStyle w:val="1025"/>
        <w:ind w:firstLine="540"/>
        <w:jc w:val="both"/>
        <w:spacing w:before="220"/>
      </w:pPr>
      <w:r>
        <w:t xml:space="preserve">- Сервис взаимодействия с Росреестром и Адаптер электронного взаимодействия (Адаптер);</w:t>
      </w:r>
      <w:r/>
    </w:p>
    <w:p>
      <w:pPr>
        <w:pStyle w:val="1025"/>
        <w:ind w:firstLine="540"/>
        <w:jc w:val="both"/>
        <w:spacing w:before="220"/>
      </w:pPr>
      <w:r>
        <w:t xml:space="preserve">- Федеральная государственная информационная система межведомственного электронного взаимодействия (СМЭВ);</w:t>
      </w:r>
      <w:r/>
    </w:p>
    <w:p>
      <w:pPr>
        <w:pStyle w:val="1025"/>
        <w:ind w:firstLine="540"/>
        <w:jc w:val="both"/>
        <w:spacing w:before="220"/>
      </w:pPr>
      <w:r>
        <w:t xml:space="preserve">- Иные способы, предусмотренные </w:t>
      </w:r>
      <w:r>
        <w:fldChar w:fldCharType="begin"/>
      </w:r>
      <w:r>
        <w:instrText xml:space="preserve"> HYPERLINK "https://login.consultant.ru/link/?req=doc&amp;base=LAW&amp;n=483234&amp;dst=1016" \h </w:instrText>
      </w:r>
      <w:r>
        <w:fldChar w:fldCharType="separate"/>
      </w:r>
      <w:r>
        <w:t xml:space="preserve">пунктом 2 части 1 статьи 18</w:t>
      </w:r>
      <w:r>
        <w:fldChar w:fldCharType="end"/>
      </w:r>
      <w:r>
        <w:t xml:space="preserve"> Федерального закона от 13.07.2015 N 218-ФЗ "О государственной регистрации недвижимости".</w:t>
      </w:r>
      <w:r/>
    </w:p>
    <w:p>
      <w:pPr>
        <w:pStyle w:val="1066"/>
        <w:ind w:left="0" w:firstLine="0"/>
        <w:spacing w:after="160" w:line="259" w:lineRule="auto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66"/>
        <w:ind w:left="0" w:firstLine="0"/>
        <w:spacing w:after="160" w:line="259" w:lineRule="auto"/>
        <w:rPr>
          <w:b/>
        </w:rPr>
        <w:sectPr>
          <w:footnotePr/>
          <w:endnotePr/>
          <w:type w:val="continuous"/>
          <w:pgSz w:w="11906" w:h="16838" w:orient="portrait"/>
          <w:pgMar w:top="1134" w:right="851" w:bottom="1134" w:left="1701" w:header="709" w:footer="709" w:gutter="0"/>
          <w:cols w:num="1" w:sep="0" w:space="708" w:equalWidth="1"/>
          <w:docGrid w:linePitch="360"/>
          <w:titlePg/>
        </w:sect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66"/>
        <w:ind w:left="-142" w:firstLine="851"/>
        <w:spacing w:after="160" w:line="259" w:lineRule="auto"/>
        <w:rPr>
          <w:rFonts w:eastAsia="Times New Roman"/>
          <w:b/>
          <w:lang w:eastAsia="ru-RU"/>
          <w14:ligatures w14:val="none"/>
        </w:rPr>
      </w:pPr>
      <w:r>
        <w:rPr>
          <w:rFonts w:eastAsia="Times New Roman"/>
          <w:b/>
          <w:bCs/>
          <w:lang w:eastAsia="ru-RU"/>
        </w:rPr>
      </w:r>
      <w:r>
        <w:rPr>
          <w:rFonts w:eastAsia="Times New Roman"/>
          <w:b/>
          <w:bCs/>
          <w:lang w:eastAsia="ru-RU"/>
        </w:rPr>
        <w:t xml:space="preserve">3. </w:t>
      </w:r>
      <w:r>
        <w:rPr>
          <w:rFonts w:eastAsia="Times New Roman"/>
          <w:b/>
          <w:bCs/>
          <w:lang w:eastAsia="ru-RU"/>
        </w:rPr>
        <w:t xml:space="preserve">Информация Росреестра о новом порядке</w:t>
      </w:r>
      <w:r>
        <w:rPr>
          <w:rFonts w:eastAsia="Times New Roman"/>
          <w:b/>
          <w:bCs/>
          <w:lang w:eastAsia="ru-RU"/>
        </w:rPr>
        <w:t xml:space="preserve"> сделок с земельными участками, который начинает действовать с </w:t>
      </w:r>
      <w:r>
        <w:rPr>
          <w:rFonts w:eastAsia="Times New Roman"/>
          <w:b/>
          <w:bCs/>
          <w:lang w:eastAsia="ru-RU"/>
        </w:rPr>
        <w:t xml:space="preserve">01.03.2025</w:t>
      </w:r>
      <w:r>
        <w:rPr>
          <w:rFonts w:eastAsia="Times New Roman"/>
          <w:b/>
          <w:bCs/>
          <w:lang w:eastAsia="ru-RU"/>
        </w:rPr>
        <w:t xml:space="preserve">.</w:t>
      </w:r>
      <w:r>
        <w:rPr>
          <w:rFonts w:eastAsia="Times New Roman"/>
          <w:b/>
          <w:lang w:eastAsia="ru-RU"/>
          <w14:ligatures w14:val="none"/>
        </w:rPr>
      </w:r>
      <w:r>
        <w:rPr>
          <w:rFonts w:eastAsia="Times New Roman"/>
          <w:b/>
          <w:lang w:eastAsia="ru-RU"/>
          <w14:ligatures w14:val="none"/>
        </w:rPr>
      </w:r>
    </w:p>
    <w:p>
      <w:pPr>
        <w:pStyle w:val="1045"/>
        <w:jc w:val="center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ФЕДЕРАЛЬНАЯ СЛУЖБА ГОСУДАРСТВЕННОЙ РЕГИСТРАЦИИ,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45"/>
        <w:jc w:val="center"/>
        <w:spacing w:before="21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КАДАСТРА И КАРТОГРАФИИ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45"/>
        <w:jc w:val="center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ИНФОРМАЦИЯ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45"/>
        <w:jc w:val="center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РОСРЕЕСТР РАЗЪЯСНИЛ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45"/>
        <w:jc w:val="center"/>
        <w:spacing w:before="21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НОВЫЙ ПОРЯДОК СДЕЛОК С ЗЕМЕЛЬНЫМИ УЧАСТКАМИ, КОТОРЫЙ НАЧИНАЕТ ДЕЙСТВОВАТЬ С 1 МАРТА 2025 Г.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 1 марта 2025 года вступает в силу Федеральный </w:t>
      </w:r>
      <w:r>
        <w:rPr>
          <w:color w:val="000000"/>
          <w:sz w:val="28"/>
          <w:szCs w:val="28"/>
        </w:rPr>
        <w:fldChar w:fldCharType="begin"/>
      </w:r>
      <w:r>
        <w:rPr>
          <w:color w:val="000000"/>
          <w:sz w:val="28"/>
          <w:szCs w:val="28"/>
        </w:rPr>
        <w:instrText xml:space="preserve"> HYPERLINK "https://www.consultant.ru/document/cons_doc_LAW_498505/" </w:instrText>
      </w:r>
      <w:r>
        <w:rPr>
          <w:color w:val="000000"/>
          <w:sz w:val="28"/>
          <w:szCs w:val="28"/>
        </w:rPr>
        <w:fldChar w:fldCharType="separate"/>
      </w:r>
      <w:r>
        <w:rPr>
          <w:color w:val="000000"/>
        </w:rPr>
        <w:t xml:space="preserve">закон</w:t>
      </w:r>
      <w:r>
        <w:rPr>
          <w:color w:val="000000"/>
        </w:rPr>
        <w:fldChar w:fldCharType="end"/>
      </w:r>
      <w:r>
        <w:rPr>
          <w:color w:val="000000"/>
          <w:sz w:val="28"/>
          <w:szCs w:val="28"/>
        </w:rPr>
        <w:t xml:space="preserve"> от 26.12.2024 N 487-ФЗ "О внесении изменений в отдельные законодательные акты Российской Федерации". Эксперты Росреестра разъяснили одну из ключевых новелл закона, которая предусматривает изменение порядка регистрации сделок с земельными участками.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jc w:val="both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  <w14:ligatures w14:val="none"/>
        </w:rPr>
      </w:pPr>
      <w:r>
        <w:rPr>
          <w:b/>
          <w:bCs/>
          <w:color w:val="000000"/>
          <w:sz w:val="28"/>
          <w:szCs w:val="28"/>
        </w:rPr>
        <w:t xml:space="preserve">В чем заключаются изменения?</w:t>
      </w:r>
      <w:r>
        <w:rPr>
          <w:b/>
          <w:bCs/>
          <w:color w:val="000000"/>
          <w:sz w:val="28"/>
          <w:szCs w:val="28"/>
          <w14:ligatures w14:val="none"/>
        </w:rPr>
      </w:r>
      <w:r>
        <w:rPr>
          <w:b/>
          <w:bCs/>
          <w:color w:val="000000"/>
          <w:sz w:val="28"/>
          <w:szCs w:val="28"/>
          <w14:ligatures w14:val="none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Изменения вн</w:t>
      </w:r>
      <w:r>
        <w:rPr>
          <w:color w:val="000000"/>
          <w:sz w:val="28"/>
          <w:szCs w:val="28"/>
        </w:rPr>
        <w:t xml:space="preserve">есены в </w:t>
      </w:r>
      <w:r>
        <w:rPr>
          <w:color w:val="000000"/>
          <w:sz w:val="28"/>
          <w:szCs w:val="28"/>
        </w:rPr>
        <w:fldChar w:fldCharType="begin"/>
      </w:r>
      <w:r>
        <w:rPr>
          <w:color w:val="000000"/>
          <w:sz w:val="28"/>
          <w:szCs w:val="28"/>
        </w:rPr>
        <w:instrText xml:space="preserve"> HYPERLINK "https://www.consultant.ru/document/cons_doc_LAW_498505/ec79d674433967ebeac038d5c0a382fcbb2e7508/" </w:instrText>
      </w:r>
      <w:r>
        <w:rPr>
          <w:color w:val="000000"/>
          <w:sz w:val="28"/>
          <w:szCs w:val="28"/>
        </w:rPr>
        <w:fldChar w:fldCharType="separate"/>
      </w:r>
      <w:r>
        <w:rPr>
          <w:color w:val="000000"/>
          <w:sz w:val="28"/>
          <w:szCs w:val="28"/>
        </w:rPr>
        <w:t xml:space="preserve">статью 26</w:t>
      </w:r>
      <w:r>
        <w:rPr>
          <w:color w:val="000000"/>
          <w:sz w:val="28"/>
          <w:szCs w:val="28"/>
        </w:rPr>
        <w:fldChar w:fldCharType="end"/>
      </w:r>
      <w:r>
        <w:rPr>
          <w:color w:val="000000"/>
          <w:sz w:val="28"/>
          <w:szCs w:val="28"/>
        </w:rPr>
        <w:t xml:space="preserve"> Закона о регистрации недвижимости. Речь идет о введении новых оснований для приостановления учетно-регистрационных действий как в отношении земельных участков, так и в отношении зданий или с</w:t>
      </w:r>
      <w:r>
        <w:rPr>
          <w:color w:val="000000"/>
          <w:sz w:val="28"/>
          <w:szCs w:val="28"/>
        </w:rPr>
        <w:t xml:space="preserve">ооружений, расположенных на них.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частности, с 1 марта 2025 года регистрационные действия в отношении земельного участка не смогут быть выполнены, если в Едином государственном реестре </w:t>
      </w:r>
      <w:r>
        <w:rPr>
          <w:color w:val="000000"/>
          <w:sz w:val="28"/>
          <w:szCs w:val="28"/>
        </w:rPr>
        <w:t xml:space="preserve">недвижимости (ЕГРН) отсутствуют сведения о местоположении его границ. Также нельзя будет поставить на кадастровый учет или оформить права на здание, сооружение или объект незавершенного строительства, расположенные на земельном участке без учтенных границ.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Применение новых положений не зависит ни от категории земельного участка, ни от вида его разрешенного использования.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17"/>
      </w:pPr>
      <w:r/>
      <w:r/>
    </w:p>
    <w:p>
      <w:pPr>
        <w:pStyle w:val="1067"/>
        <w:jc w:val="both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  <w:outlineLvl w:val="1"/>
      </w:pPr>
      <w:r>
        <w:rPr>
          <w:b/>
          <w:bCs/>
          <w:color w:val="000000"/>
          <w:sz w:val="28"/>
          <w:szCs w:val="28"/>
        </w:rPr>
        <w:t xml:space="preserve">Почему так важно установить границы земельного участка?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 отмечают специалисты Росреестра, при отсутствии в ЕГРН сведений о границах земельных участков невоз</w:t>
      </w:r>
      <w:r>
        <w:rPr>
          <w:color w:val="000000"/>
          <w:sz w:val="28"/>
          <w:szCs w:val="28"/>
        </w:rPr>
        <w:t xml:space="preserve">можно однозначно определить, где этот земельный участок в действительности находится и какова его площадь. Соответственно, у покупателя такого участка могут возникнуть сомнения, что указанная в сделке цена актуальна и соответствует характеристикам объекта.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Также имеют место случаи, когда продавец показывает покупателю чужой земельный участок или объя</w:t>
      </w:r>
      <w:r>
        <w:rPr>
          <w:color w:val="000000"/>
          <w:sz w:val="28"/>
          <w:szCs w:val="28"/>
        </w:rPr>
        <w:t xml:space="preserve">сняет, что в земельный участок входит территория, которая не является его частью. В результате человек приобретает совершенно иной объект и пытается добиться справедливости в суде либо сталкивается со сложностями при установлении границ купленного участка.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Практика показывает, что именно отсутствие точно определенных границ является причиной большинства конфликтов между владельцами смежных земельных участков. К примеру, бывает, что собственник соседнего участка предъявля</w:t>
      </w:r>
      <w:r>
        <w:rPr>
          <w:color w:val="000000"/>
          <w:sz w:val="28"/>
          <w:szCs w:val="28"/>
        </w:rPr>
        <w:t xml:space="preserve">ет претензии о захвате земли новым покупателем или наоборот. В этом случае начинаются долгие споры с соседями, и нередко приходиться обращаться в суд. А судебные разбирательства по вопросам установления границ участков - одни из самых сложных и длительных.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Кроме того, встречаются случаи, когда строительство капит</w:t>
      </w:r>
      <w:r>
        <w:rPr>
          <w:color w:val="000000"/>
          <w:sz w:val="28"/>
          <w:szCs w:val="28"/>
        </w:rPr>
        <w:t xml:space="preserve">альных объектов осуществляется без понимания реального местоположения границ участка. Это приводит к тому, что построенный объект оказывается расположен на чужом земельном участке или на участке, не предоставленном или не предназначенном для строительства.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Также при отсутствии у земельного участ</w:t>
      </w:r>
      <w:r>
        <w:rPr>
          <w:color w:val="000000"/>
          <w:sz w:val="28"/>
          <w:szCs w:val="28"/>
        </w:rPr>
        <w:t xml:space="preserve">ка установленных границ и признаков хозяйственной деятельности органы государственной власти или муниципалитеты могут ошибочно принять его за свободную землю и незаконно ей распорядиться. Это создает прямую угрозу для защиты прав граждан и юридических лиц.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Таким образом, закон обеспечивает гарантии прав новых правообладателей земельных участков, защищает их от возможных проблем с определением местоположения границ и от несанкционированного занятия участков.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17"/>
      </w:pPr>
      <w:r/>
      <w:r/>
    </w:p>
    <w:p>
      <w:pPr>
        <w:pStyle w:val="1067"/>
        <w:jc w:val="both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  <w:outlineLvl w:val="1"/>
      </w:pPr>
      <w:r>
        <w:rPr>
          <w:b/>
          <w:bCs/>
          <w:color w:val="000000"/>
          <w:sz w:val="28"/>
          <w:szCs w:val="28"/>
        </w:rPr>
        <w:t xml:space="preserve">Как проверить, внесены ли в ЕГРН границы земельного участка?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Проверить н</w:t>
      </w:r>
      <w:r>
        <w:rPr>
          <w:color w:val="000000"/>
          <w:sz w:val="28"/>
          <w:szCs w:val="28"/>
        </w:rPr>
        <w:t xml:space="preserve">аличие или отсутствие в ЕГРН сведений о границах земельного участка достаточно просто. Для этого можно открыть публичную кадастровую карту Росреестра, которая доступна всем желающим бесплатно, и по кадастровому номеру или адресу найти интересующий участок.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Кроме того, сведения о местоположении границ участка указываются в выписке из ЕГРН, которую можно получить как в электронном, так и в бумажном виде. Это можно сделать с использованием Единого портала госуслуг или в МФЦ.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17"/>
      </w:pPr>
      <w:r/>
      <w:r/>
    </w:p>
    <w:p>
      <w:pPr>
        <w:pStyle w:val="1067"/>
        <w:jc w:val="both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  <w:outlineLvl w:val="1"/>
      </w:pPr>
      <w:r>
        <w:rPr>
          <w:b/>
          <w:bCs/>
          <w:color w:val="000000"/>
          <w:sz w:val="28"/>
          <w:szCs w:val="28"/>
        </w:rPr>
        <w:t xml:space="preserve">На каком этапе сделки возможно приостановление?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 сообщают специалисты Росреестра, документы для осуществления учетно-регистрационных действий будут </w:t>
      </w:r>
      <w:r>
        <w:rPr>
          <w:color w:val="000000"/>
          <w:sz w:val="28"/>
          <w:szCs w:val="28"/>
        </w:rPr>
        <w:t xml:space="preserve">приняты в установленном порядке. Однако если государственный регистратор обнаружит, что в ЕГРН отсутствуют сведения о границах земельных участков, в отношении которых эти действия должны быть выполнены, учетно-регистрационные действия будут приостановлены.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17"/>
      </w:pPr>
      <w:r/>
      <w:r/>
    </w:p>
    <w:p>
      <w:pPr>
        <w:pStyle w:val="1067"/>
        <w:jc w:val="both"/>
        <w:spacing w:before="0" w:beforeAutospacing="0" w:after="0" w:afterAutospacing="0"/>
        <w:shd w:val="clear" w:color="auto" w:fill="ffffff"/>
        <w:rPr>
          <w:b/>
          <w:bCs/>
          <w:color w:val="000000"/>
          <w:sz w:val="28"/>
          <w:szCs w:val="28"/>
        </w:rPr>
        <w:outlineLvl w:val="1"/>
      </w:pPr>
      <w:r>
        <w:rPr>
          <w:b/>
          <w:bCs/>
          <w:color w:val="000000"/>
          <w:sz w:val="28"/>
          <w:szCs w:val="28"/>
        </w:rPr>
        <w:t xml:space="preserve">Как внести в ЕГРН границы земельного участка?</w:t>
      </w:r>
      <w:r>
        <w:rPr>
          <w:b/>
          <w:bCs/>
          <w:color w:val="000000"/>
          <w:sz w:val="28"/>
          <w:szCs w:val="28"/>
        </w:rPr>
      </w:r>
      <w:r>
        <w:rPr>
          <w:b/>
          <w:bCs/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Внесение в ЕГРН сведений о границах земельного участка осуществляется на основании заявления об осуществлении государственного кадастрового учета и межевого плана, которые правообладатель такого участка предоставляет в орган регистрации прав.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Межеванием занимаются кадастровые инженеры. Специалист выезжает на место и проводит необхо</w:t>
      </w:r>
      <w:r>
        <w:rPr>
          <w:color w:val="000000"/>
          <w:sz w:val="28"/>
          <w:szCs w:val="28"/>
        </w:rPr>
        <w:t xml:space="preserve">димые замеры и расчеты. Если есть забор, то замеры проводят по нему. Если забора нет, лучше заранее обозначить углы участка колышками. Следующий этап - ознакомление с результатами замеров. Далее - процесс согласования границ с владельцами смежных участков.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срок, оговоренный договором подряда, кадастровый инженер готовит межевой план, содержащий сведения о характер</w:t>
      </w:r>
      <w:r>
        <w:rPr>
          <w:color w:val="000000"/>
          <w:sz w:val="28"/>
          <w:szCs w:val="28"/>
        </w:rPr>
        <w:t xml:space="preserve">ных точках границы земельного участка. При этом он не сможет установить границы земельного участка так, как хочется собственнику. Для проведения работ потребуются документальные свидетельства, что участок выделен именно в этом месте и именно такой площади.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эт</w:t>
      </w:r>
      <w:r>
        <w:rPr>
          <w:color w:val="000000"/>
          <w:sz w:val="28"/>
          <w:szCs w:val="28"/>
        </w:rPr>
        <w:t xml:space="preserve">ом специалисты Росреестра отмечают, что при уточнении границ участка потребуется выполнение мероприятий по согласованию уточненного местоположения границ. Сроки этих мероприятий зависят от конкретной ситуации и не могут быть определены или указаны заранее.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Напомним, что уточнение границ поможет исправить возможные ошибки, в том числе в сведениях о фактически используе</w:t>
      </w:r>
      <w:r>
        <w:rPr>
          <w:color w:val="000000"/>
          <w:sz w:val="28"/>
          <w:szCs w:val="28"/>
        </w:rPr>
        <w:t xml:space="preserve">мой площади. Она может отличаться от той, что указана в сведениях ЕГРН. Кроме того, ошибочные сведения о площади участка могут стать причиной неверного определения его кадастровой стоимости и, как следствие, неверного определения размера земельного налога.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Действия правообладателей земельных участков, направленные на обеспечение внесения в ЕГРН сведений о границах земельных участков, урегулированы федеральным законодательством (</w:t>
      </w:r>
      <w:r>
        <w:rPr>
          <w:color w:val="000000"/>
          <w:sz w:val="28"/>
          <w:szCs w:val="28"/>
        </w:rPr>
        <w:fldChar w:fldCharType="begin"/>
      </w:r>
      <w:r>
        <w:rPr>
          <w:color w:val="000000"/>
          <w:sz w:val="28"/>
          <w:szCs w:val="28"/>
        </w:rPr>
        <w:instrText xml:space="preserve"> HYPERLINK "https://www.consultant.ru/document/cons_doc_LAW_489454/" </w:instrText>
      </w:r>
      <w:r>
        <w:rPr>
          <w:color w:val="000000"/>
          <w:sz w:val="28"/>
          <w:szCs w:val="28"/>
        </w:rPr>
        <w:fldChar w:fldCharType="separate"/>
      </w:r>
      <w:r>
        <w:rPr>
          <w:color w:val="000000"/>
          <w:sz w:val="28"/>
          <w:szCs w:val="28"/>
        </w:rPr>
        <w:t xml:space="preserve">Закон</w:t>
      </w:r>
      <w:r>
        <w:rPr>
          <w:color w:val="000000"/>
          <w:sz w:val="28"/>
          <w:szCs w:val="28"/>
        </w:rPr>
        <w:fldChar w:fldCharType="end"/>
      </w:r>
      <w:r>
        <w:rPr>
          <w:color w:val="000000"/>
          <w:sz w:val="28"/>
          <w:szCs w:val="28"/>
        </w:rPr>
        <w:t xml:space="preserve"> "О кадастровой деятельности", </w:t>
      </w:r>
      <w:r>
        <w:rPr>
          <w:color w:val="000000"/>
          <w:sz w:val="28"/>
          <w:szCs w:val="28"/>
        </w:rPr>
        <w:fldChar w:fldCharType="begin"/>
      </w:r>
      <w:r>
        <w:rPr>
          <w:color w:val="000000"/>
          <w:sz w:val="28"/>
          <w:szCs w:val="28"/>
        </w:rPr>
        <w:instrText xml:space="preserve"> HYPERLINK "https://www.consultant.ru/document/cons_doc_LAW_498505/2049252d4f034f4b0785662e40bf8f16a6019e41/" </w:instrText>
      </w:r>
      <w:r>
        <w:rPr>
          <w:color w:val="000000"/>
          <w:sz w:val="28"/>
          <w:szCs w:val="28"/>
        </w:rPr>
        <w:fldChar w:fldCharType="separate"/>
      </w:r>
      <w:r>
        <w:rPr>
          <w:color w:val="000000"/>
          <w:sz w:val="28"/>
          <w:szCs w:val="28"/>
        </w:rPr>
        <w:t xml:space="preserve">Закон</w:t>
      </w:r>
      <w:r>
        <w:rPr>
          <w:color w:val="000000"/>
          <w:sz w:val="28"/>
          <w:szCs w:val="28"/>
        </w:rPr>
        <w:fldChar w:fldCharType="end"/>
      </w:r>
      <w:r>
        <w:rPr>
          <w:color w:val="000000"/>
          <w:sz w:val="28"/>
          <w:szCs w:val="28"/>
        </w:rPr>
        <w:t xml:space="preserve"> о регистрации недвижимости) и не являются новеллами законодательства.</w:t>
      </w:r>
      <w:r>
        <w:rPr>
          <w:color w:val="000000"/>
          <w:sz w:val="28"/>
          <w:szCs w:val="28"/>
        </w:rPr>
      </w:r>
      <w:r>
        <w:rPr>
          <w:color w:val="000000"/>
          <w:sz w:val="28"/>
          <w:szCs w:val="28"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67"/>
        <w:ind w:firstLine="540"/>
        <w:jc w:val="both"/>
        <w:spacing w:before="0" w:beforeAutospacing="0" w:after="0" w:afterAutospacing="0"/>
        <w:shd w:val="clear" w:color="auto" w:fill="ffffff"/>
        <w:rPr>
          <w:b/>
          <w:color w:val="000000"/>
          <w14:ligatures w14:val="none"/>
        </w:rPr>
      </w:pPr>
      <w:r>
        <w:rPr>
          <w:b/>
        </w:rPr>
        <w:br w:type="page" w:clear="all"/>
      </w:r>
      <w:r>
        <w:rPr>
          <w:b/>
          <w:color w:val="000000"/>
          <w14:ligatures w14:val="none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  <w:t xml:space="preserve">4.</w:t>
      </w:r>
      <w:r>
        <w:rPr>
          <w:rFonts w:eastAsia="Calibri"/>
          <w:b/>
          <w:sz w:val="28"/>
          <w:szCs w:val="28"/>
          <w:lang w:eastAsia="en-US"/>
        </w:rPr>
        <w:t xml:space="preserve"> Информационное письмо Росреестра </w:t>
      </w:r>
      <w:r>
        <w:rPr>
          <w:rFonts w:eastAsia="Calibri"/>
          <w:b/>
          <w:sz w:val="28"/>
          <w:szCs w:val="28"/>
          <w:lang w:eastAsia="en-US"/>
        </w:rPr>
        <w:t xml:space="preserve">от 30.01</w:t>
      </w:r>
      <w:r>
        <w:rPr>
          <w:rFonts w:eastAsia="Calibri"/>
          <w:b/>
          <w:sz w:val="28"/>
          <w:szCs w:val="28"/>
          <w:lang w:eastAsia="en-US"/>
        </w:rPr>
        <w:t xml:space="preserve">.2025 № </w:t>
      </w:r>
      <w:r>
        <w:rPr>
          <w:rFonts w:eastAsia="Calibri"/>
          <w:b/>
          <w:sz w:val="28"/>
          <w:szCs w:val="28"/>
          <w:lang w:eastAsia="en-US"/>
        </w:rPr>
        <w:t xml:space="preserve">13-0728-АБ/25</w:t>
      </w:r>
      <w:r>
        <w:rPr>
          <w:rFonts w:eastAsia="Calibri"/>
          <w:b/>
          <w:sz w:val="28"/>
          <w:szCs w:val="28"/>
          <w:lang w:eastAsia="en-US"/>
        </w:rPr>
        <w:t xml:space="preserve"> о</w:t>
      </w:r>
      <w:r>
        <w:rPr>
          <w:rFonts w:eastAsia="Calibri"/>
          <w:b/>
          <w:sz w:val="28"/>
          <w:szCs w:val="28"/>
          <w:lang w:eastAsia="en-US"/>
        </w:rPr>
        <w:t xml:space="preserve"> разъяснении условий, при кото</w:t>
      </w:r>
      <w:r>
        <w:rPr>
          <w:rFonts w:eastAsia="Calibri"/>
          <w:b/>
          <w:sz w:val="28"/>
          <w:szCs w:val="28"/>
          <w:lang w:eastAsia="en-US"/>
        </w:rPr>
        <w:t xml:space="preserve">рых получение разрешения на строительство для выполнения строительных работ по реконструкции и (или) изменению объектов капитального строительства и (или) их частей не требуется в случае, если такие изменения не затрагивают конструктивных и других характер</w:t>
      </w:r>
      <w:r>
        <w:rPr>
          <w:rFonts w:eastAsia="Calibri"/>
          <w:b/>
          <w:sz w:val="28"/>
          <w:szCs w:val="28"/>
          <w:lang w:eastAsia="en-US"/>
        </w:rPr>
        <w:t xml:space="preserve">истик надежности и безопасности и не превышают предельных параметров разрешенного строительства, реконструкции, установленных градостроительным регламентом, и подготовки технического плана (технических планов) измененных объектов капитального строительства</w:t>
      </w:r>
      <w:r>
        <w:rPr>
          <w:rFonts w:eastAsia="Calibri"/>
          <w:b/>
          <w:sz w:val="28"/>
          <w:szCs w:val="28"/>
          <w:lang w:eastAsia="en-US"/>
        </w:rPr>
        <w:t xml:space="preserve">.</w: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76242" cy="6456426"/>
                <wp:effectExtent l="0" t="0" r="0" b="0"/>
                <wp:docPr id="8" name="_x0000_i105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7590171" name=""/>
                        <pic:cNvPicPr/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4576241" cy="6456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360.33pt;height:508.38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9" name="_x0000_i105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20674252" name="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0" name="_x0000_i106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77508417" name="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1" name="_x0000_i106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40651734" name="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2" name="_x0000_i106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7108739" name="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2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3" name="_x0000_i106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4720613" name="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3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4" name="_x0000_i106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3388749" name=""/>
                        <pic:cNvPicPr/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4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5" name="_x0000_i106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5276932" name="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5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5416" cy="8410804"/>
                <wp:effectExtent l="0" t="0" r="0" b="0"/>
                <wp:docPr id="16" name="_x0000_i106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6286183" name="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5415" cy="84108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68.14pt;height:662.27pt;mso-wrap-distance-left:0.00pt;mso-wrap-distance-top:0.00pt;mso-wrap-distance-right:0.00pt;mso-wrap-distance-bottom:0.00pt;" stroked="f">
                <v:path textboxrect="0,0,0,0"/>
                <v:imagedata r:id="rId26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pStyle w:val="1070"/>
        <w:spacing w:before="7" w:line="264" w:lineRule="auto"/>
        <w:widowControl/>
        <w:tabs>
          <w:tab w:val="left" w:pos="958" w:leader="none"/>
        </w:tabs>
        <w:rPr>
          <w:rFonts w:eastAsia="Calibri"/>
          <w:b/>
          <w:sz w:val="28"/>
          <w:szCs w:val="28"/>
          <w:lang w:eastAsia="en-US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501348" cy="7782611"/>
                <wp:effectExtent l="0" t="0" r="0" b="0"/>
                <wp:docPr id="17" name="_x0000_i106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21905186" name="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501347" cy="778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33.18pt;height:612.80pt;mso-wrap-distance-left:0.00pt;mso-wrap-distance-top:0.00pt;mso-wrap-distance-right:0.00pt;mso-wrap-distance-bottom:0.00pt;" stroked="f">
                <v:path textboxrect="0,0,0,0"/>
                <v:imagedata r:id="rId27" o:title=""/>
              </v:shape>
            </w:pict>
          </mc:Fallback>
        </mc:AlternateContent>
      </w:r>
      <w:r>
        <w:rPr>
          <w:rFonts w:eastAsia="Calibri"/>
          <w:b/>
          <w:sz w:val="28"/>
          <w:szCs w:val="28"/>
          <w:lang w:eastAsia="en-US"/>
        </w:rPr>
      </w:r>
      <w:r>
        <w:rPr>
          <w:rFonts w:eastAsia="Calibri"/>
          <w:b/>
          <w:sz w:val="28"/>
          <w:szCs w:val="28"/>
          <w:lang w:eastAsia="en-US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pStyle w:val="1066"/>
        <w:ind w:left="-142" w:firstLine="851"/>
        <w:spacing w:after="160" w:line="259" w:lineRule="auto"/>
        <w:rPr>
          <w:b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  <w:t xml:space="preserve">5.</w:t>
      </w:r>
      <w:r>
        <w:rPr>
          <w:rFonts w:eastAsia="Times New Roman"/>
          <w:b/>
          <w:lang w:eastAsia="ru-RU"/>
        </w:rPr>
        <w:t xml:space="preserve"> </w:t>
      </w:r>
      <w:r>
        <w:rPr>
          <w:b/>
        </w:rPr>
        <w:t xml:space="preserve">Информационное Росреестра от </w:t>
      </w:r>
      <w:r>
        <w:rPr>
          <w:b/>
        </w:rPr>
        <w:t xml:space="preserve">11.02.2025 № 06-00298/25, содержащее информационные материалы об электронном взаимодействии Росреестра с юридическими лицами с 01.03.2025</w:t>
      </w:r>
      <w:r>
        <w:rPr>
          <w:b/>
        </w:rPr>
        <w:t xml:space="preserve">.</w:t>
      </w:r>
      <w:r>
        <w:rPr>
          <w:b/>
        </w:rPr>
      </w:r>
      <w:r>
        <w:rPr>
          <w:b/>
        </w:rPr>
      </w:r>
    </w:p>
    <w:p>
      <w:pPr>
        <w:pStyle w:val="1066"/>
        <w:ind w:left="0" w:firstLine="0"/>
        <w:spacing w:after="160" w:line="259" w:lineRule="auto"/>
        <w:rPr>
          <w:b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18" name="_x0000_i10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16633685" name=""/>
                        <pic:cNvPicPr/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28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19" name="_x0000_i10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94394580" name=""/>
                        <pic:cNvPicPr/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29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20" name="_x0000_i10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51385968" name=""/>
                        <pic:cNvPicPr/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30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21" name="_x0000_i10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2595661" name=""/>
                        <pic:cNvPicPr/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31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22" name="_x0000_i104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95886175" name=""/>
                        <pic:cNvPicPr/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32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23" name="_x0000_i104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0008161" name=""/>
                        <pic:cNvPicPr/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33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9942" cy="8405254"/>
                <wp:effectExtent l="0" t="0" r="0" b="0"/>
                <wp:docPr id="24" name="_x0000_i104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3036762" name="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939941" cy="8405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67.71pt;height:661.83pt;mso-wrap-distance-left:0.00pt;mso-wrap-distance-top:0.00pt;mso-wrap-distance-right:0.00pt;mso-wrap-distance-bottom:0.00pt;" stroked="f">
                <v:path textboxrect="0,0,0,0"/>
                <v:imagedata r:id="rId34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  <w:sz w:val="28"/>
          <w:szCs w:val="28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93638" cy="8198218"/>
                <wp:effectExtent l="0" t="0" r="0" b="0"/>
                <wp:docPr id="25" name="_x0000_i104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75965129" name=""/>
                        <pic:cNvPicPr/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793637" cy="81982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56.19pt;height:645.53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pStyle w:val="1061"/>
        <w:ind w:left="22" w:firstLine="708"/>
        <w:spacing w:line="276" w:lineRule="auto"/>
        <w:widowControl/>
        <w:tabs>
          <w:tab w:val="left" w:pos="3161" w:leader="none"/>
          <w:tab w:val="left" w:pos="4961" w:leader="none"/>
          <w:tab w:val="left" w:pos="7315" w:leader="none"/>
        </w:tabs>
        <w:rPr>
          <w:b/>
        </w:rPr>
        <w:sectPr>
          <w:footnotePr/>
          <w:endnotePr/>
          <w:type w:val="continuous"/>
          <w:pgSz w:w="11906" w:h="16838" w:orient="portrait"/>
          <w:pgMar w:top="1134" w:right="851" w:bottom="1134" w:left="1701" w:header="709" w:footer="709" w:gutter="0"/>
          <w:cols w:num="1" w:sep="0" w:space="708" w:equalWidth="1"/>
          <w:docGrid w:linePitch="360"/>
          <w:titlePg/>
        </w:sectPr>
      </w:pPr>
      <w:r>
        <w:rPr>
          <w:b/>
          <w:sz w:val="28"/>
          <w:szCs w:val="28"/>
        </w:rPr>
      </w:r>
      <w:r>
        <w:rPr>
          <w:b/>
        </w:rPr>
      </w:r>
      <w:r>
        <w:rPr>
          <w:b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6.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Информационное Росреестра от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13.02.2025 № 14-1255-ТГ/25, содержащее ответы/рекомендации на поступившие вопросы методического характера в сфере государственного кадастрового учета и государственной регистрации прав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pStyle w:val="1017"/>
        <w:rPr>
          <w:b/>
        </w:rPr>
      </w:pPr>
      <w:r>
        <w:rPr>
          <w:lang w:eastAsia="ru-RU"/>
        </w:rPr>
      </w: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695127" cy="7948594"/>
                <wp:effectExtent l="6350" t="6350" r="6350" b="6350"/>
                <wp:docPr id="26" name="_x0000_i10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26715249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 flipH="0" flipV="0">
                          <a:off x="0" y="0"/>
                          <a:ext cx="5695125" cy="79485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48.44pt;height:625.87pt;mso-wrap-distance-left:0.00pt;mso-wrap-distance-top:0.00pt;mso-wrap-distance-right:0.00pt;mso-wrap-distance-bottom:0.00pt;" stroked="f">
                <v:path textboxrect="0,0,0,0"/>
                <v:imagedata r:id="rId36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  <w:sectPr>
          <w:footnotePr/>
          <w:endnotePr/>
          <w:type w:val="nextPage"/>
          <w:pgSz w:w="11906" w:h="16838" w:orient="portrait"/>
          <w:pgMar w:top="1134" w:right="851" w:bottom="1134" w:left="1701" w:header="709" w:footer="709" w:gutter="0"/>
          <w:cols w:num="1" w:sep="0" w:space="708" w:equalWidth="1"/>
          <w:docGrid w:linePitch="360"/>
          <w:titlePg/>
        </w:sect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tbl>
      <w:tblPr>
        <w:tblW w:w="4839" w:type="pct"/>
        <w:jc w:val="center"/>
        <w:tblInd w:w="0" w:type="dxa"/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636"/>
        <w:gridCol w:w="2073"/>
        <w:gridCol w:w="1740"/>
        <w:gridCol w:w="4118"/>
        <w:gridCol w:w="5686"/>
      </w:tblGrid>
      <w:tr>
        <w:tblPrEx/>
        <w:trPr>
          <w:trHeight w:val="177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6" w:type="dxa"/>
            <w:vAlign w:val="center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№ П/П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073" w:type="dxa"/>
            <w:vAlign w:val="center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Наименование  территориального органа Росреестра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center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Реквизиты направленного ТО письма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4118" w:type="dxa"/>
            <w:vAlign w:val="center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Вопрос территориального органа Росреестра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686" w:type="dxa"/>
            <w:vAlign w:val="center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Ответ Центрального 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а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ппарата Росреестра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</w:tr>
      <w:tr>
        <w:tblPrEx/>
        <w:trPr>
          <w:trHeight w:val="373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6" w:type="dxa"/>
            <w:vAlign w:val="top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lang w:eastAsia="ru-RU"/>
              </w:rPr>
              <w:t xml:space="preserve">1</w:t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  <w:r>
              <w:rPr>
                <w:rFonts w:eastAsia="Times New Roman"/>
                <w:b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073" w:type="dxa"/>
            <w:vAlign w:val="top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Cs/>
                <w:color w:val="000000"/>
                <w:lang w:eastAsia="ru-RU"/>
              </w:rPr>
            </w:pPr>
            <w:r>
              <w:rPr>
                <w:rFonts w:eastAsia="Times New Roman"/>
                <w:bCs/>
                <w:color w:val="000000"/>
                <w:lang w:eastAsia="ru-RU"/>
              </w:rPr>
              <w:t xml:space="preserve">Управление</w:t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 Росреестра по </w:t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Самарской области</w:t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1740" w:type="dxa"/>
            <w:vAlign w:val="top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Cs/>
                <w:color w:val="000000"/>
                <w:lang w:eastAsia="ru-RU"/>
              </w:rPr>
            </w:pPr>
            <w:r>
              <w:rPr>
                <w:rFonts w:eastAsia="Times New Roman"/>
                <w:bCs/>
                <w:color w:val="000000"/>
                <w:lang w:eastAsia="ru-RU"/>
              </w:rPr>
              <w:t xml:space="preserve">от </w:t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24.01.2025</w:t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 № </w:t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Исх-р/25-208</w:t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4118" w:type="dxa"/>
            <w:vAlign w:val="top"/>
            <w:textDirection w:val="lrTb"/>
            <w:noWrap w:val="false"/>
          </w:tcPr>
          <w:p>
            <w:pPr>
              <w:pStyle w:val="1017"/>
              <w:jc w:val="center"/>
              <w:spacing w:line="240" w:lineRule="auto"/>
              <w:rPr>
                <w:rFonts w:eastAsia="Times New Roman"/>
                <w:bCs/>
                <w:color w:val="000000"/>
                <w:lang w:eastAsia="ru-RU"/>
              </w:rPr>
            </w:pPr>
            <w:r>
              <w:rPr>
                <w:rFonts w:eastAsia="Times New Roman"/>
                <w:bCs/>
                <w:color w:val="000000"/>
                <w:lang w:eastAsia="ru-RU"/>
              </w:rPr>
              <w:t xml:space="preserve">Об уплате государственной пошлины при направлении уполномоченным органом </w:t>
            </w:r>
            <w:r>
              <w:rPr>
                <w:rStyle w:val="1069"/>
                <w:bCs/>
                <w:color w:val="000000"/>
              </w:rPr>
              <w:footnoteReference w:id="2"/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в орган регистрации прав на основании части 1.10 статьи 19      Закона № 218-ФЗ</w:t>
            </w:r>
            <w:r>
              <w:rPr>
                <w:rStyle w:val="1069"/>
                <w:bCs/>
                <w:color w:val="000000"/>
              </w:rPr>
              <w:footnoteReference w:id="3"/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документов об осуществлении государственного кадастрового учета или государственного кадастрового учета и государственной регистрации прав в случае изменения сведений о помещении в МКД</w:t>
            </w:r>
            <w:r>
              <w:rPr>
                <w:rStyle w:val="1069"/>
                <w:bCs/>
                <w:color w:val="000000"/>
              </w:rPr>
              <w:footnoteReference w:id="4"/>
            </w:r>
            <w:r>
              <w:rPr>
                <w:rFonts w:eastAsia="Times New Roman"/>
                <w:bCs/>
                <w:color w:val="000000"/>
                <w:lang w:eastAsia="ru-RU"/>
              </w:rPr>
              <w:t xml:space="preserve"> по результатам его перепланировки, а также в случае образования в результате перепланировки новых помещений</w:t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  <w:r>
              <w:rPr>
                <w:rFonts w:eastAsia="Times New Roman"/>
                <w:bCs/>
                <w:color w:val="00000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686" w:type="dxa"/>
            <w:vAlign w:val="center"/>
            <w:textDirection w:val="lrTb"/>
            <w:noWrap w:val="false"/>
          </w:tcPr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Статьей 17 Закона № 218-ФЗ установлено, что за осуществление государственного кадастрового учета и (или) государственной регистрации прав взимается государственная пошлина в соответствии с НК</w:t>
            </w:r>
            <w:r>
              <w:rPr>
                <w:rStyle w:val="1069"/>
                <w:bCs/>
              </w:rPr>
              <w:footnoteReference w:id="5"/>
            </w:r>
            <w:r>
              <w:rPr>
                <w:bCs/>
              </w:rPr>
              <w:t xml:space="preserve">. 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Пунктом 1 статьи 333.33 НК установлены размеры государственной пошлины: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за государственный кадастровый учет в связи с изменением сведений об объекте недвижимости</w:t>
            </w:r>
            <w:r>
              <w:rPr>
                <w:bCs/>
              </w:rPr>
              <w:t xml:space="preserve">       </w:t>
            </w:r>
            <w:r>
              <w:rPr>
                <w:bCs/>
              </w:rPr>
              <w:t xml:space="preserve"> (подпункт 22.3);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за осуществляемые одновременно государственный кадастровый учет и государственную регистрацию прав на созданные (образованные) объекты недвижимости (подпункт 22.4). 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В соответствии с положениями части 1 статьи 28 ЖК</w:t>
            </w:r>
            <w:r>
              <w:rPr>
                <w:rStyle w:val="1069"/>
                <w:bCs/>
              </w:rPr>
              <w:footnoteReference w:id="6"/>
            </w:r>
            <w:r>
              <w:rPr>
                <w:bCs/>
              </w:rPr>
              <w:t xml:space="preserve"> по завершении переустройства и (или) перепланировки помещения в МКД заявитель способом, предусмотренным частью 9 статьи 23 ЖК, направ</w:t>
            </w:r>
            <w:r>
              <w:rPr>
                <w:bCs/>
              </w:rPr>
              <w:t xml:space="preserve">ляет в уполномоченный орган уведомление о завершении указанных работ; в случае перепланировки помещения к такому уведомлению прилагается технический план перепланированного помещения, подготовленный заявителем в соответствии с Законом № 218-ФЗ; в случае об</w:t>
            </w:r>
            <w:r>
              <w:rPr>
                <w:bCs/>
              </w:rPr>
              <w:t xml:space="preserve">разования в результате перепланировки помещения новых помещений в уведомлении о завершении перепланировки помещения указываются сведения об уплате заявителем государственной пошлины за осуществление государственной регистрации прав на недвижимое имущество.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Под «заявителем», который обращается </w:t>
            </w:r>
            <w:r>
              <w:rPr>
                <w:bCs/>
                <w:color w:val="000000"/>
              </w:rPr>
              <w:t xml:space="preserve">в уполномоченный орган</w:t>
            </w:r>
            <w:r>
              <w:rPr>
                <w:bCs/>
              </w:rPr>
              <w:t xml:space="preserve"> за проведением перепланировки, в главе 4 ЖК понимается собственник помещения или уполномоченное им лицо (части 1, 2 статьи 26 ЖК). 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В этой связи, принимая также во внимание</w:t>
            </w:r>
            <w:r>
              <w:rPr>
                <w:bCs/>
              </w:rPr>
              <w:t xml:space="preserve">         </w:t>
            </w:r>
            <w:r>
              <w:rPr>
                <w:bCs/>
              </w:rPr>
              <w:t xml:space="preserve"> статью 333.17 НК, на наш взгляд: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собственник помещения в МКД является плательщиком гос</w:t>
            </w:r>
            <w:r>
              <w:rPr>
                <w:bCs/>
              </w:rPr>
              <w:t xml:space="preserve">ударственной пошлины за совершение в отношении него (и (или) принадлежащего ему помещения) соответствующего(их) учетно-регистрационного(ых) действия(ий) (государственного кадастрового учета в связи с изменением сведений о перепланированном помещении либо г</w:t>
            </w:r>
            <w:r>
              <w:rPr>
                <w:bCs/>
              </w:rPr>
              <w:t xml:space="preserve">осударственного кадастрового учета и государственной регистрации права на образуемые в результате перепланировки новые помещения) по заявлению уполномоченного органа, направленному в орган регистрации прав на основании части 1.10 статьи 19 Закона № 218-ФЗ;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отсутствие в части 1 статьи 28 ЖК и части 1.10 статьи 19 Зак</w:t>
            </w:r>
            <w:r>
              <w:rPr>
                <w:bCs/>
              </w:rPr>
              <w:t xml:space="preserve">она № 218-ФЗ положений, корреспондирующих положениям подпунктов 22.3 и 22.4 пункта 1 статьи 333.33 НК, не влияет на исполнение установленной НК обязанности по уплате соответствующей государственной пошлины ее плательщиками (не отменяет такую обязанность). 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Также отмечаем, что в рамках подготовки ко второму чтению проекта федерального закона № 65</w:t>
            </w:r>
            <w:r>
              <w:rPr>
                <w:bCs/>
              </w:rPr>
              <w:t xml:space="preserve">1434-8 «О внесении изменений в отдельные статьи Жилищного кодекса Российской Федерации» Росреестром направлены предложения о дополнении указанного законопроекта соответствующими положениями о внесении изменений в часть 1 статьи 28 ЖК и часть 1.10 статьи 19</w:t>
            </w:r>
            <w:r>
              <w:rPr>
                <w:bCs/>
              </w:rPr>
              <w:t xml:space="preserve">                              </w:t>
            </w:r>
            <w:r>
              <w:rPr>
                <w:bCs/>
              </w:rPr>
              <w:t xml:space="preserve"> Закона № 218-ФЗ. 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Учитывая изложенное, а также положения части 2 статьи 8, пункта 6 части 5 статьи 14 и пункта 4.6 части 2 статьи 15 Закона № 218-ФЗ, на наш взгляд: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17"/>
              <w:ind w:firstLine="720"/>
              <w:spacing w:line="240" w:lineRule="auto"/>
              <w:tabs>
                <w:tab w:val="left" w:pos="720" w:leader="none"/>
              </w:tabs>
              <w:rPr>
                <w:bCs/>
              </w:rPr>
            </w:pPr>
            <w:r>
              <w:rPr>
                <w:bCs/>
              </w:rPr>
              <w:t xml:space="preserve">при осуществлении государственного кадастрового учета в связи с изменением основных сведений о перепланированном помещении в МКД по заявлению </w:t>
            </w:r>
            <w:r>
              <w:rPr>
                <w:bCs/>
              </w:rPr>
              <w:t xml:space="preserve">уполномоченного органа, направленному в орган регистрации прав в соответствии с частью 1.10 статьи 19 Закона № 218-ФЗ, собственником такого помещения уплачивается государственная пошлина в размере, предусмотренном подпунктом 22.3 пункта 1 статьи 333.33 НК;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1073"/>
              <w:jc w:val="both"/>
              <w:spacing w:line="240" w:lineRule="auto"/>
              <w:rPr>
                <w:rFonts w:ascii="Times New Roman" w:hAnsi="Times New Roman" w:eastAsia="Times New Roman"/>
                <w:bCs/>
                <w:color w:val="000000"/>
                <w:lang w:eastAsia="ru-RU"/>
              </w:rPr>
            </w:pPr>
            <w:r>
              <w:rPr>
                <w:rFonts w:ascii="Times New Roman" w:hAnsi="Times New Roman"/>
                <w:bCs/>
              </w:rPr>
              <w:t xml:space="preserve">            </w:t>
            </w:r>
            <w:r>
              <w:rPr>
                <w:rFonts w:ascii="Times New Roman" w:hAnsi="Times New Roman"/>
                <w:bCs/>
              </w:rPr>
              <w:t xml:space="preserve">при осуществлении по заявлению уполномоченного органа, направленному в орган регистрации прав</w:t>
            </w:r>
            <w:r>
              <w:rPr>
                <w:rFonts w:ascii="Times New Roman" w:hAnsi="Times New Roman"/>
                <w:bCs/>
              </w:rPr>
              <w:t xml:space="preserve"> в соответствии с частью 1.10 статьи 19 Закона № 218-ФЗ, государственного кадастрового учета и государственной регистрации прав на помещения, образованные в результате перепланировки помещения в МКД, лицами, чьи права регистрируются на образованные помещен</w:t>
            </w:r>
            <w:r>
              <w:rPr>
                <w:rFonts w:ascii="Times New Roman" w:hAnsi="Times New Roman"/>
                <w:bCs/>
              </w:rPr>
              <w:t xml:space="preserve">ия, уплачивается государственная пошлина за осуществляемые одновременно государственный кадастровый учет и государственную регистрацию прав на созданные (образованные) объекты недвижимости в размере, установленном подпунктом 22.4 пункта 1 статьи 333.33 НК.</w:t>
            </w:r>
            <w:r>
              <w:rPr>
                <w:rFonts w:ascii="Times New Roman" w:hAnsi="Times New Roman" w:eastAsia="Times New Roman"/>
                <w:bCs/>
                <w:color w:val="000000"/>
                <w:lang w:eastAsia="ru-RU"/>
              </w:rPr>
            </w:r>
            <w:r>
              <w:rPr>
                <w:rFonts w:ascii="Times New Roman" w:hAnsi="Times New Roman" w:eastAsia="Times New Roman"/>
                <w:bCs/>
                <w:color w:val="000000"/>
                <w:lang w:eastAsia="ru-RU"/>
              </w:rPr>
            </w:r>
          </w:p>
        </w:tc>
      </w:tr>
    </w:tbl>
    <w:p>
      <w:pPr>
        <w:pStyle w:val="1017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eastAsia="Calibri" w:cs="Times New Roman"/>
          <w:b/>
          <w:bCs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</w:r>
    </w:p>
    <w:p>
      <w:pPr>
        <w:ind w:firstLine="0"/>
        <w:jc w:val="both"/>
        <w:spacing w:after="0" w:line="240" w:lineRule="auto"/>
        <w:shd w:val="clear" w:color="auto" w:fill="ffffff"/>
        <w:rPr>
          <w:rFonts w:ascii="Times New Roman" w:hAnsi="Times New Roman" w:eastAsia="Calibri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bCs/>
          <w:sz w:val="28"/>
          <w:szCs w:val="28"/>
          <w:lang w:eastAsia="ru-RU"/>
        </w:rPr>
        <w:br w:type="page" w:clear="all"/>
      </w:r>
      <w:r>
        <w:rPr>
          <w:rFonts w:ascii="Times New Roman" w:hAnsi="Times New Roman" w:eastAsia="Calibri" w:cs="Times New Roman"/>
          <w:bCs/>
          <w:sz w:val="28"/>
          <w:szCs w:val="28"/>
          <w:lang w:eastAsia="ru-RU"/>
        </w:rPr>
      </w:r>
      <w:r>
        <w:rPr>
          <w:rFonts w:ascii="Times New Roman" w:hAnsi="Times New Roman" w:eastAsia="Calibri" w:cs="Times New Roman"/>
          <w:bCs/>
          <w:sz w:val="28"/>
          <w:szCs w:val="28"/>
          <w:lang w:eastAsia="ru-RU"/>
        </w:rPr>
      </w:r>
    </w:p>
    <w:p>
      <w:pPr>
        <w:pStyle w:val="1025"/>
        <w:ind w:left="1069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  <w:sectPr>
          <w:footnotePr/>
          <w:endnotePr/>
          <w:type w:val="nextPage"/>
          <w:pgSz w:w="16838" w:h="11906" w:orient="landscape"/>
          <w:pgMar w:top="1701" w:right="1134" w:bottom="850" w:left="1134" w:header="709" w:footer="709" w:gutter="0"/>
          <w:cols w:num="1" w:sep="0" w:space="708" w:equalWidth="1"/>
          <w:docGrid w:linePitch="360"/>
          <w:titlePg/>
        </w:sectPr>
      </w:pP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Style w:val="1030"/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Style w:val="1030"/>
          <w:rFonts w:ascii="Times New Roman" w:hAnsi="Times New Roman" w:cs="Times New Roman"/>
          <w:b/>
          <w:i/>
          <w:sz w:val="28"/>
          <w:szCs w:val="28"/>
        </w:rPr>
        <w:t xml:space="preserve">Новости информационных сайтов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Минэкономразвития России</w:t>
      </w:r>
      <w:r>
        <w:rPr>
          <w:rStyle w:val="1030"/>
          <w:rFonts w:ascii="Times New Roman" w:hAnsi="Times New Roman" w:cs="Times New Roman"/>
          <w:b/>
          <w:i/>
          <w:sz w:val="28"/>
          <w:szCs w:val="28"/>
        </w:rPr>
        <w:t xml:space="preserve">, Росреестра и Управления Росреестра по Новосибирской области</w:t>
      </w:r>
      <w:r>
        <w:rPr>
          <w:rStyle w:val="1030"/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Style w:val="1030"/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jc w:val="both"/>
        <w:spacing w:after="0" w:line="240" w:lineRule="auto"/>
        <w:rPr>
          <w:rFonts w:ascii="Times New Roman" w:hAnsi="Times New Roman" w:eastAsia="Calibri" w:cs="Times New Roman"/>
          <w:b/>
          <w:bCs/>
          <w:color w:val="292c2f"/>
          <w:sz w:val="28"/>
          <w:szCs w:val="28"/>
        </w:rPr>
      </w:pPr>
      <w:r>
        <w:rPr>
          <w:rFonts w:ascii="Times New Roman" w:hAnsi="Times New Roman" w:eastAsia="Calibri" w:cs="Times New Roman"/>
          <w:b/>
          <w:bCs/>
          <w:color w:val="292c2f"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color w:val="292c2f"/>
          <w:sz w:val="28"/>
          <w:szCs w:val="28"/>
        </w:rPr>
      </w:r>
      <w:r>
        <w:rPr>
          <w:rFonts w:ascii="Times New Roman" w:hAnsi="Times New Roman" w:eastAsia="Calibri" w:cs="Times New Roman"/>
          <w:b/>
          <w:bCs/>
          <w:color w:val="292c2f"/>
          <w:sz w:val="28"/>
          <w:szCs w:val="28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1. Росреестр разъяснил, как будет работать закон об освоении и использовании земельных участков.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последнее время в сети «Интернет» появились сообщения о том, что с 1 марта 2025 года у собственников земельных участков в упрощенном порядке могут быть изъяты земельные участки в связи с их неиспользование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 отмечают специалисты Росреестра, данная информация не соответствует действ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ительности, поскольку законодательством никакого «упрощенного» порядка изъятия земельных участков не предусмотрено. Более того, вступающий в силу Федеральный закон, на который ссылаются авторы указанных сообщений, наоборот, предусмотрел новые механизмы защ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иты прав собственности граждан.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1 марта 2025 года вступит в силу Федеральный закон от 08.08.2024 № 307-ФЗ, которым определяется трехлетний срок для освоения земельных участков, расположенных в границах населенных пунктов, садовых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 огородных земельных участков.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Необходимо понимать, что данная норма прежде всего касается проблемных участков, которые заб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олочены, захламлены или заросли сорной растительностью. Человеку дополнительно даётся 3 года, чтобы провести все необходимые работы и подготовить участок к использованию (очистить его от мусора, осушить, выровнять рельеф и т.д.). В течение этого 3-летнего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срока, пока собственник осваивает участок, его нельзя привлечь к ответственности за нецелевое использование земли, поскольку он к нему еще не приступал. После истечения 3 лет, предназначенных для освоения земли, человек уже начинает использовать ее по назн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ачению – строить дом, магазин, объекты рекреационного назначения, выращивать сельскохозяйственную продукцию и т.д. С этого момента собственник несет ответственность за неиспользование участка, и контрольные (надзорные) органы могут зафиксировать нарушения.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Также важно отметить, что указанные нормы касаются только земельных участков в границах населенных пунктов, садовых и огородных участков. Правила об освоении в трехлетний срок не распространяются на земли промышленности, земли для произ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водственной деятельности, туристического и рекреационного значения. Что касается земель сельскохозяйственного назначения – то в их отношении еще с 2016 года установлены более жесткие требования, в том числе касающиеся освоения и изъятия в связи с неиспольз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ованием по целевому назначению.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Будут ли изымать земельные участки, на которых выявлены 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ризнаки неиспользования?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Крайне важным является то, что в новом законе об освоении земель,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 также в разработанных Росреестром проектах подзаконных актов не предлагалось и не предлагается расширить основания для изъятия земельных участков, увеличить штраф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ы за их неиспользование.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Отмечаем, что Гражданским кодексом РФ уже на протяжении многих лет предусмотрена процедура изъятия земельного участка, предназначенного для ведения сельского хозяйства либо жилищного или иного 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троительства. Это возможно в случае его неиспользования по целевому назначению в течение трех лет (при условии отсутствия обстоятельств, связанных с его освоением, а также стихийными бедствиями). Данный механизм введен еще в 1995 году. С этого же времени 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редусмотрена возможность изъятия земельного участка, если он используется не по целевому назначению, или его использование приводит к существенному снижению плодородия земель сельскохозяйственного назначения либо причинению вреда окружающей среде (ст. 284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 285 Гражданского кодекса РФ).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То есть если ранее, по действующему законодательству, у собственника могли изъять землю, если он ее не освоил в течение 3 лет, то по новому закону срок до возможного изъятия фактически увеличивается до 5-7 лет, т.к. он дает человеку дополнительные 3 года 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ля освоения.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Также необходимо отметить, что даже если человек не освоил земельный участок в срок, это не буд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ет автоматически являться основанием для его изъятия. Напоминаем, что изъятию земельного участка предшествует проведение контрольных (надзорных) мероприятий. Правообладатели участков, на которых будут выявлены признаки неиспользования, смогут устранить нар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ушения в установленном порядке.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Почему так важны мероприятия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освоению земельных участков?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Заросшие, захлам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ленные и загрязненные земельные участки являются серьезной проблемой для ведения хозяйства, для развития населенных пунктов, для создания и сохранения их надлежащего архитектурного облика. На такие участки жалуются соседи. Они становятся небезопасными мест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ами посещения детей и молодежи.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Аналогичные факты также препятствуют деятельности садоводческих товариществ. Дачники не могут оперативно решить вопросы, связанные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деятельностью их объединений. Дополнительные проблемы возникают у председателя - это долги по взносам, которые неизбежно копят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ся у владельцев таких земель.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Немало случ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аев, когда правообладатели годами и десятилетиями не появляются на земельных участках. При этом особых мер воздействия на них законодательство не предусматривает. Вопрос об установлении ущерба собственникам других земельных участков и объектов недвижимости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б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ольшинстве случаев не решается.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какого момента бу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дут исчисляться сроки освоения?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участкам, которые купят, подарят и т.д. после 1 марта 2025 года, сроки освоения будут идти с момента приобретения прав на них (с момента регистрации). По тем участкам, которые уже в собственности, срок будет 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счисляться с 1 марта 2025 года.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Принятый закон обратной силы не предполагает, поскольку это было бы несправедливо по 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тношению к гражданам и бизнесу.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Кто будет определят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ь, осваивается участок или нет?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Законом предусмотрено установление перечня мероприятий по освоению земельных участков, а также признаков их неиспользования. Соответствующие нормативные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акты утвердит Правительство РФ.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частности, перечень мероприятий по освоению земельных участков включает такие действия, как, например, осушение, увлажнение, очистку участков от сорной растительности и отходов,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уплотнение и укрепление грунта.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Признаки неиспользования содержат критерии, которые позволят оценить, осуществляется ли использование земельных уч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астков в соответствии с законом. В частности, для земельных участков, предназначенных для строительства, такими признаками будет отсутствие на участке построенного и оформленного здания, сооружения в течение 5 и более лет. Этот срок будет исчисляться уже 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осле истечения 3-летнего срока.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Огородные земельные участки не должны быть заросшими сорными растениями и захлам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ленными более, чем на половину.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Таким образом, принятым законом создана дополнительная защита правообладателей земельных участков, которые не могут сразу после оформления прав на них по объективным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причинам начать использование.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Во-первых, правообладатели будут знать, чего нельзя допускать на земельных участках, и смогут планировать и принимать меры для предотвращения ситуаций, при которых на их земельных участках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могут быть выявлены нарушения.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Во-вторых, инспекторы органов контроля (надзора) должны будут непосредственно руководствоваться конкретн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ыми признаками неиспользования земельных участков. То есть они не смогут привлечь к ответственности правообладателей, если на их участках таких признаков не обнаружено. Это исключит риски применений оценочных суждений инспектора и коррупционных проявлений.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 будет выг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лядеть схема реализации закона?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Выявление нарушений, связанных с неиспользованием земельных участков, осуществляется и планируется осуществлять Росреестром в рамках федераль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ного государственного земельного контроля (надзора), а также уполномоченными органами местного самоуправления в рамках муниципального земельного контроля. Эта деятельность будет осуществляться исходя из признаков неиспользования земельных участков, которые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установлены Правительством РФ.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После выявления нарушения правообладателю земельного участка будет выдано предписание об устранении нарушения. В дальнейшем проводится проверка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исполнения такого предписания.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Важно отметить, что при назначении административного наказания физическому лицу учитываются характер совершенного правонарушения, личность виновного, его имущественное положение, обстоятельства, смягчающие ответственность, и обстоятельст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ва, отягчающие ответственность.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 первом выявлении нарушения штраф не назначается, наказание ограничивается только предупреждением.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же правообладатель не устраняет выявленное нарушение, то Росреестр в течение 30 дней с момента истечения срока устранения нарушения увед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омляет о такой ситуации уполномоченный орган государственной власти или орган местного самоуправления. Далее они могут обратиться в суд с требованием об изъятии земельных участков в связи с их ненадлежащим использованием и об их продаже с публичных торгов.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Что делать собственникам, которые по объективным причинам не могут освоить земельный участок в срок?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на таких участках будут выявлены признаки неиспользования, то обстоятель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ства по ним будут оцениваться в рамках рассмотрения дел об административных правонарушениях. При этом правообладатель земельного участка может предоставить материалы, подтверждающие обстоятельства, повлекшие невозможность исполнить ту или иную обязанность.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Кроме того, после получения предписания об устранении административного правонарушения правообладатель может направить в контрольный (надзорный) орган ходатайство о продлении срока устранения нарушения.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Более того, в случае длительного отсутствия собственника он может передать свой земельный участок в аренду или безвозмездное пользование третьим лицам для поддержания его в надлежащем состоянии.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Также правообладатели земельных участков могут привлечь третьих лиц на условиях возмездного оказания услуг, например, по уборке территории.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2.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 реализует пилотный проект по вовлечению в оборот неиспользуемых объектов недвижимости и наполнению ЕГРН.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усиливает комплексную работу по выявлению, учёту и вовл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ечению в оборот неиспользуемых объектов недвижимости. Это позволит к концу 2030 года обеспечить полноту и качество сведений в Едином государственном реестре недвижимости (ЕГРН) и вовлечь в хозяйственный оборот неиспользуемые земельные участки и территории.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«С 2021 года эти вопросы, в том числе решаются в рамках госпрограммы «Национальная система пространственных данных». За это время силами Росреест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ра и ППК “Роскадастр„ в ЕГРН внесены 191 граница между субъектами и 1,85 тыс. границ муниципальных образований. В три раза больше, чем за предыдущие 10 лет, внесено границ территориальных зон – 298,6 тыс. Исправлено 1,9 млн реестровых ошибок. Количество об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ъектов с правообладателями увеличилось на 18,1 млн. В то же время, несмотря на значительную динамику, остаётся ещё большой объём работы. Чтобы её выполнить в установленный госпрограммой срок, до конца 2030 года, эта деятельность будет усилена. Росреестр за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пустил пилотный проект, который позволит активизировать в регионах создание полного и точного реестра недвижимости и выявить новые участки и территории для вовлечения в экономический оборот», – сказал Заместитель Председателя Правительства Марат Хуснуллин.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настоящее время пилотный проект реализуется в отдельных муниципальных образованиях 16 регионов – в Костромско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й, Липецкой, Новгородской, Омской, Пензенской, Псковской, Смоленской, Тамбовской, Ульяновской областях, Приморском и Хабаровском краях, республиках Марий Эл, Мордовия, Чувашской Республике, Еврейской автономной области и Ханты-Мансийском автономном округе.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«Фактически проводится 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плошная инвентаризация земель и имущества, которая позволит собрать и обобщить сведения обо всех объектах недвижимости. В настоящее время работы завершены в 71 населённом пункте, ещё в 38 продолжаются. В результате в отношении 8,3 тыс. объектов недвижимост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 выявлены сведения о правообладателях, уточнены сведения о границах 18,7 тыс. земельных участков и объектов капитального строительства, выявлено 3,2 тыс. га территорий, пригодных для вовлечения в оборот», – отметил руководитель Росреестра Олег Скуфинский.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Проект реализуется в рамках соглашения, которое заключается между Росреестром, главой региона и публично-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правовой компанией «Роскадастр» (является исполнителем работ). После создания в субъекте оперативного штаба и утверждения «дорожной карты» начинаются работы по анализу архивных документов, в том числе картографических материалов, и обследование территорий.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Результаты работ вносятся в ЕГРН и Национальную систему пространственных данных. Росреестр на постоянной основе осуществляет организационное, координационное и методическое сопровождение пилотного проекта.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 сегодняшний день в сфере земли и недвижимости остаются исторически накопленные проблемы отсутствия 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ведений в ЕГРН и других реестрах. В отношении 29,9 млн объектов отсутствуют сведения о правообладателях, у 17,4 млн земельных участков не установлены границы. Сохраняется дефицит свободной земли для предоставления гражданам, юридическим лицам и инвесторам.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3. Росреестр ввёл в эксплуатацию онлайн-сервис для предварительного расчёта госпошлины.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 сайте Росреестра появился новый сервис «Калькулятор госпошлины», который в режиме онлайн поможет предварительно рассчитать размер пошлины за проведение кадастрового учёта и регистрации прав на объекты недвижимости.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1 января 2025 года вступили в силу поправки в Налоговый кодекс РФ, внесённые Федеральным законом от 12.07.2024 № 176-ФЗ, в том числе в статью 333.33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 размерах и порядке расчета государственной пошлины. В результате в ряде случаев размер пошлины является фиксированным, а в других – зависит от кадастровой стоимости объекта недвижимости, цены сделки, категории заявителя (физическое или юридическое лицо).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«Для удобного перехода на новый порядок расчёта госпошлины Росреестр разработал несколько инструментов. Один из них – цифровой сервис «Калькулятор госпошлины». Любой гражданин при необходимости сможет в онлайн-режиме самостоятельно рассчитать сумму госп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ошлины, что удобно при планировании операций с недвижимостью. Для работы с калькулятором не требуется авторизация на сайте. Воспользоваться инструментом можно круглосуточно и без выходных дней», - сообщил заместитель руководителя Росреестра Максим Смирнов.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расчёта госпошлины с помощью онлайн-калькулятора необходимо заполнить поля о типе регистрационного действия, выбрать вид права, указать количество заявителей и объект недвижимости.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отдельных случаях пользователям также 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еобходимо указать дополнительные признаки, связанные с объектом недвижимости либо субъектом прав. Например, что земля относится к землям сельскохозяйственного назначения, что помещение является общим имуществом в МКД, что совершаются действия с закладными.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Обязательные для заполнения поля в калькуляторе отмечены звёздочкой. Важно, что при указании кадастрового номера объекта недвижимости сервис автоматически запрашивает в ЕГРН кадастровую стоимость объекта.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4.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РФ одобрило законопроект о полномочиях ППК «Роскадастр» по повышению эффективности использования земель в регионах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России одобрило для внесения в Государственную Думу законопроект Росреестра, наделяющий ППК «Роскадастр» полномочи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ями по проведению в субъектах РФ работ по наполнению ЕГРН полными и точными сведениями, а также вовлечению в хозяйственный оборот неиспользуемых земельных участков. На заседании Правительства законопроект представил руководитель Росреестра Олег Скуфинский.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Изменения предполагается внести в статью 4 Федерального закона «О публично-правовой компании «Роскадастр» и отдельные законодатель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ные акты Российской Федерации».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«Важными драйверами экономического роста регионов является вовлечение в гражданский оборо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 объектов недвижимости и полнота сведений ЕГРН о таких объектах. Предлагаемые нормы позволят ППК «Роскадастр» оказывать содействие регионам и муниципалитетам в решении задач по определению границ объектов недвижимости, образованию земельных участков, выяв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лению правообладателей ранее учтённых объектов, исправлению реестровых ошибок. Это будет способствовать экономическому росту субъектов РФ за счёт пространственного развития территорий, выявления и вовлечения в хозяйственный оборот неиспользуемых земель», -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сказал руководитель ведомства.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Он напомнил, что ППК «Роскадастр» является оператором ФГИС ЕГРН и ФГИС «Единая цифровая платформа «Национальная си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стема пространственных данных» (НСПД). Сегодня компания обеспечивает устойчивое развитие и модернизацию геодезической, картографической и кадастровой деятельности, разработку и сопровождение информационных систем, пространственных данных, сервисов и услуг.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Изменения, предлагаемые Правительством РФ, позволят ускорить в регионах работу по наполнению ЕГРН сведениями 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пространственных данных объектов недвижимости. Согласно госпрограмме «НСПД», к 2030 году этот показатель должен составить 95%. Также это поможет сократить сроки предоставления земельных участков и определить территории, нуждающиеся в комплексном развитии.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Помимо прочего, это будет способствовать увеличению поступления доходов в бюджетную систему Российской Федерации в виде имущественных налогов и сборов, а также денежных средств от продажи земельных участков.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Проводить соответствующие работы и оказывать услуги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ППК «Роскадастр» сможет на основании соглашений с органами власти регионов или с муниципалитетами. Соглашения будут заключаться, исходя из конкретной потребности субъекта Российской Федерации или муниципального образования в выполнении тех или иных работ.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5. Правительство РФ одобрило законопроект о передаче ППК «Роскадастр» полномочий по ведению фонда данных государственной кадастровой оценки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РФ одобрило для внесения в Государственную Думу законопроект Росреестра, которым предусмотрена передача полномочий Росреестра по ведению фонда данных государственной кадастровой оценки (ГКО) публично-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правовой компании «Роскадастр».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Это позво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лит усовершенствовать процедуру проведения и сопровождения ГКО с помощью Единой цифровой платформы «Национальная система пространственных данных» (НСПД) и обеспечит доступность сервисов обратной связи по вопросам определения кадастровой стоимости. На засед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ании Правительства законопроект представил руководи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тель ведомства Олег Скуфинский.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настоящее время полномочия по ведению фонда ГКО закреплены за Росреестром. Работы по проведению ГКО осуществляют специально созданные в субъектах РФ бюджетные учреждения, которые передают в фонд ГКО все не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обходимые сведения и материалы.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«Инициатива является частью масштабной работы по оптимизации государственного упра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вления в сфере земли и недвижимости, в том числе в части государственной кадастровой оценки. Сегодня ППК «Роскадастр» уже наделена рядом полномочий в сфере ГКО – компания не только предоставляет исходную информацию для проведения оценки, но и вносит в ЕГРН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сведения, полученные в результате данных работ. Также ППК является оператором ФГИС «Единая цифровая платформа «НСПД», на которую уже перенесен и функционирует фонд данных ГКО. Таким образом, получив полномочия по ведению фонда, ППК «Роскадастр» станет пре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дприятием единого цикла в части обеспечения и сопровождения государственной кадастровой оценки. Это позволит оптимизировать информационные потоки и сократить сроки исполнения отдельных полномочий в области ГКО и улучшить экосистему обратной связи для гражд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ан», - сообщил Олег Скуфинский.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Он также отметил, что в декабре 2024 года на базе НСПД введена в эксплуатацию подсистема рынка недвижимости. Бл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агодаря этому, на единой цифровой платформе выстроены все процессы по определению кадастровой стоимости и обеспечено взаимодействие всех участников государственной кадастровой оценки. Платформа будет использоваться для расчета кадастровой стоимости и разви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тия ряда цифровых инструментов.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Так, законопроект предусматривает создание удобных сервисов для направления гражданами замечаний, обращений и иных документов по вопросам кадастровой стоимости. В частности, с помощью НСПД в режиме онлайн можно будет направить на рассмотрение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бюджетные учреждения декларацию о характеристиках объекта недвижимости. Также можно будет обратиться с замечаниями к проекту отчета об итогах ГКО, попросить предоставить разъяснения по вопросам определения кадастровой стоимости или исправить ошибки, допу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щенные в ходе данной процедуры.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Кроме того, на странице фонда ГКО можно будет подать заявление об установлении кадастровой стоимости объе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кта в размере рыночной. Законопроект унифицирует процесс рассмотрения таких обращений. Планируется, что руководством каждого субъекта РФ будет утвержден регламент, что повысит качество принимаемых решений и сделает процедуру установления рыночной стоимости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более понятной для заявителей.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 этом стоит отметить, что в случае, если кадастровая ст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оимость определена некорректно, граждане по-прежнему смогут ее оспорить при обращении в бюджетные учреждения, специальные комиссии при органах власти субъекта или в суде. Действующие механизмы оспаривания кадастровой стоимости предусмотрены Федеральным зак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оном № 237-ФЗ от 3 июля 2016 г.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Также законопроектом предлагается установить предельный срок официального опубликования акта об утвержден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ии результатов определения кадастровой стоимости - не позднее 30 ноября года проведения ГКО. Это позволит исключить нарушение сроков проведения государственной кадастровой оценки и применять полученные сведения о кадастровой стоимости с 1 января года, след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ующего за годом проведения ГКО.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случае принятия законопроект вступит в силу с 1 января 2026 г. (за ис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ключением отдельных положений).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Напомним, что в настоя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щее время на рассмотрении в Государственной Думе также находится законопроект Росреестра, которым предлагается проводить государственную кадастровую оценку во всех субъектах Российской Федерации с использованием НСПД. Инициатива поддержана в первом чтении.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Справочно: Публично правовая компания «Роскадастр» создана в декабре 2021 года (Федеральный закон от 30.12.2021 № 448-ФЗ). В нее вошли подведомственные учреждения Росреестра - ФГБУ «ФКП Росреестра», ФГБУ «Центр геодезии, картографии и инф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раструктуры пространственных данных», а также акционерные общества «Роскартография» и «Ростехинвентаризация — Федеральное БТИ». В октябре 2024 года ППК «Роскадастр» были переданы полномочия по проведению комплексных кадастровых работ федерального значения.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6.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одобрило законопроект Росреестра о расширении перечня случаев регистрации прав и обременений недвижимости.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Правительство РФ одобрило разработанный Росреестром законопроект, которым предлагается расширить 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еречень случаев для государственной регистрации прав, ограничений прав и обременения объектов недвижимости. Законопроект на заседании Правительства представил руководитель Росреестра Олег Скуфинский. Изменения вносятся в ряд статей Гражданского кодекса РФ.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Одной из ключевых новелл законопроекта является возможность внесения в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ЕГРН сведений об установлении, изменении и прекращения порядка владения и пользования недвижимостью, находящейся в долевой собственности. Это планируется осуществлять на основании нотариально заверенного соглашения между участниками долевой собственности.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«Инициатива направлена на защиту прав и законных интересов участников общей долевой собственности. Это позволит сделать боле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 прозрачными условия использования общего имущества, по которым достигнуто соглашение между участниками, и снизить возможные риски при переходе прав на доли в праве общей собственности. Отмечу, что запись в ЕГРН о наличии установленного порядка владения 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пользования общим имуществом будет сохраняться при переходе доли к другому лицу. Это исключит необходимость заключения нового соглашения о порядке владения и пользования общим имуществом при изменении состава участников», - сообщил руководитель ведомства.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Также законопроект предусматривает возможность осуществления государственной регистрации в отношении: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Безвозмездного пользования (ссуды) объектами недвижимого имущества;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Права пользования гражданина жилым помещением, которому такое право представлено по завещательному отказу, в качестве обременения недвижимого имущества.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Напомним, договор безвозмездного пользования – это юридический документ, который заключается между двумя сторонами с тем, чтобы предоставить в пользование одной из них объект имущества другой стороны на определенный срок и без оплаты.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Под завеща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тельным отказом подразумевается возложение наследодателем на наследников обязанности по выполнению определенных действий в интересах третьих лиц. К примеру, он изъявляет волю, чтобы наследники разрешили пользоваться его квартирой какому-либо третьему лицу.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 отметил Олег Скуфинский, по действующему законодательству договор безвозмездного пользования недвижимым имуществом (кроме земельных участков и объектов культурного наследия) государственной регистрации не подлежит.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Следовательно, потенциальный приобретатель не может из открытых источников узнать, что в отношении данного помещения имеется ссудополучатель. В то же время эта информация является существенной и может повлиять на принятие решения о покупке такого объекта.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Кроме того, сегодня в ЕГРН не отражаются сведения о праве на получение завещател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ьного отказа, касающегося жилых помещений и права пользования ими. При этом, согласно п. 3 ст. 33 Жилищного кодекса РФ, отказополучатель вправе требовать государственной регистрации права пользования жилым помещением, возникающего из завещательного отказа.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Отсутствие правового регулирования в данном вопросе часто приводит к тому, что новый собственник недвижимости узнает о таком обременении при оспаривании его права после совершения сделки.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Предлагаемые законопроектом меры призваны создать для третьих лиц (в том числе наследников и друг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их участников гражданских отношений) открытое и полное представление о том, что в отношении такого имущества имеются обременения прав. Это позволит обеспечить защиту имущественных прав, а также прозрачность и стабильность гражданского оборота недвижимости.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7.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Как собственнику земельного участка оформить право на хозяйственные постройки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ноябре 2024 года вступили в силу изменения законодательства, затронувшие порядок регистрации прав на хозяйственные постройки. Теперь их можно оформить в собственность бесплатно.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 хозяйственным постр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ойкам относятся объекты, которые предназначены для удовлетворения бытовых нужд (бани, сараи, летние кухни и пр.), расположенные на земельных участках для индивидуального жилищного строительства, ведения личного подсобного хозяйства или ведения садоводства.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хозяйственная постройка является объектом недвижимости и технический учет осуществлен до 01.01.2013 (например, есть технический паспорт), сведения о таком объекте являются ранее учтенными и права признаются ранее возникшими.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оформления прав достаточно представить заявление о внесении сведений о ранее учтенном объекте и заявление государственной регистрации ранее возникших прав. Государственная пошлина в таком случае не уплачивается.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Отмечаем, что права на земельный участок, на котором расположена постройка, должны быть зарегистрированы в ЕГРН.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технический учет не производился, оформить право собственно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сти на хозяйственные постройки можно в общем порядке на основании технического плана, который готовит кадастровый инженер. Государственная пошлина за государственный кадастровый учет и государственную регистрацию  прав в таком случае составит 1 000 рублей.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8.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С 2020 года количество объектов без правообладателей в России сократилось почти на 20 млн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рамках работы Росреестра по повышению ка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чества данных Единого государственного реестра недвижимости (ЕГРН) количество объектов, в отношении которых отсутствуют сведения о правообладателях, с 2020 года сократилось на 19,6 млн – до 28,4 млн. Об этом сообщил руководитель Росреестра Олег Скуфинский.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марте 2020 года в рамках указания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Президента РФ об обеспечении достоверности сведений в государственных информационных ресурсах Росреестр приступил к реализации проекта «Полный и точный реестр». Это комплексный план по наполнению ЕГРН полными и точными сведениями. При участии федеральных,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региональных органов власти и муниципалитетов проводится работа внесению в ЕГРН сведений об административных границах и границах территориальных зон, проведению комплексных кадастровых работ, выявлению правообладателей ранее учтенных объектов недвижимости.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«Наполнение ЕГРН точными и достоверными сведениями – одна из приоритетных задач Росреестра. Только на полных и точных данных можно оказывать качественные государствен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ные услуги для людей и эффективно управлять территориями. Эту работу мы проводим комплексно в рамках поручений Президента РФ, Правительства РФ и рекомендаций Совета Федерации. Если 5 лет назад в ЕГРН было 48 млн объектов без прав, то сегодня эта цифра сокр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атилась до 28,4 млн. Доля таких объектов в ЕГРН – 16,6% по сравнению с 28,9% в начале 2020 года. Такая динамика во многом связана с началом реализации в 2022 году госпрограммы «Национальная система пространственных данных», – сказал руководитель ведомства.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его словам, в рамках исполнения перечня поручений Главы государства в 2025 году запланировано проанализировать сведения о 3,9 млн объектах недвижимости без прав, содержащихся в ЕГРН.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 эффективное снижение количес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тва объектов недвижимости без прав повлияла реализация закона о выявлении правообладателей ранее учтенных объектов недвижимости (№ 518-ФЗ), вступившего в силу с июня 2021 года. В ЕГРН внесены сведения о выявленных правообладателях 831 тыс. объектов недвижи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мости, более 2 млн объектов исключены из ЕГРН как прекратившие своё существование. Принятые нормы также простимулировали собственников самостоятельно обратиться с заявлением о регистрации ранее возникшего права. Это позволило оформить более 3 млн объектов.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Практически завершена работа с федеральным имуществом. Начиная с 2021 года, право собственности РФ зарегистрировано в отно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шении 131 120 таких объектов. В работе остается 10 533 объекта федерального имущества, расположенных в 51 субъекте Российской Федерации, в отношении которых Федеральным органам предстоит провести работы по постановке их на государственный кадастровый учёт.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2023 году Росреестром совместно с органами исполнительной власти субъектов Российской Федерации и органами местного самоуправления начата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масштабная работа с объектами недвижимости, относящимся к региональной и муниципальной собственности. В результате данных мероприятий почти на 98% обеспечен анализ и/или государственная регистрация права региональной собственности, на 91% – муниципальной.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9. О способах защиты персональных данных.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Ежегодно 28 января отмечается Международный день защиты персональных данных. Новосибирский Роскадастр напоминает заявителям о способах защиты личной информации, которые помогут обезопасить себя в реальной жизни и интернет-пространстве.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Закрытый доступ к персональным данным собственников недвижимости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Персональные данные собственника могут предоставляться по запросу третьих лиц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лишь при наличии в Едином государственном реестре недвижимости (ЕГРН) специальной записи. При этом такая информация доступна самому владельцу, его супругу, наследникам, государственным органам, нотариусам, а также ряду лиц, установленных законодательством.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Чтобы сведения стали доступными, собственнику, его законному представителю либо представителю на основании нотариально удостоверенной доверенности необходимо подать заявление в любом офисе МФЦ, на официальном сайте Росреестра или на портале Госуслуг.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Запись о возможности предоставления третьим лицам персональных данных вносится в ЕГРН в срок не более трех рабочих дней с момента поступления заявления в орган регистрации прав. Погасить данную запись можно, подав аналогичное заявление.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Справка о лицах, получивших сведения об объекте недвижимости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Правообладатель не может запретить другим лицам подавать запросы о предоставлении общедоступных сведений по его объекту недвижимости. В то же врем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я собственник может получить справку о лицах, которые запрашивали информацию в отношении принадлежащего ему объекта. Данная справка помогает выявить незаконные действия в отношении недвижимости и предпринять меры по защите своего имущества и личных данных.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2024 году жителями Новосибирской области получено 413 таких справок, 89% из них – в электронном виде.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Получить документ можно в любом офисе МФЦ, на официальном сайте Росреестра или на портале Госуслуг. Из выписки правообладатель может узнать о физических и юридических лицах, органах местного самоу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правления и органах государственной власти, которым предоставлялись сведения о его объекте недвижимости, дату и исходящий номер такого документа. В справке не будет указана информация о запросах от органов, осуществляющих оперативно-розыскную деятельность.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Использование официальных ресурсов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Сегодня телефонно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 и интернет-мошенничество является одним из распространенных видов преступных действий с целью получения персональных данных граждан. Злоумышленники довольно часто представляются сотрудниками банков, государственных учреждений, правоохранительных органов.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Чтобы не стать жертвой преступников, не рекомендуется сообщать по телефону личные данные, реквизиты банковских к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арт, а также содержание сообщений, поступающих от банковских учреждений. В этом случае правильным решением будет закончить телефонный разговор. Минимизировать нежелательные входящие вызовы поможет использование функций блокировки спам-звонков на смартфоне.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 ведет активную борьбу с сайтами-двойниками, которые выдают себя за официальные сайты ведомства и подведомственных учреждений и имеют схожие с ними символику и название. Использовани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 таких сайтов является незаконным, создает предпосылки к мошенническим действиям в сфере оформления недвижимости и нарушает режим конфиденциальности персональных данных. За информацию, представленную на подобных сайтах, ведомство ответственности не несет.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Обращаем внимание, актуальную и достоверную информацию, а также государственные услуги в сфере кадастрового учета и регистрации прав можно получить только на официальных сайтах: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Росреестр, Роскадастр, Портал Госуслуг, МФЦ Новосибирской области.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10. О проведении профилактических визитов лицензиатов в 2025 году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2025 году к лицензиатам, получившим лицензию на выполнение геодезических и картографических работ в 2024 году, будут проведены обязательные профилактические визиты.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План проведения профилактических визитов лицензиатов, выполняющих геодезические и картографические работы, размещен в региональном блоке официального сайта Росреестра.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Профилактический визит – один из видов профилактических мероприятий в надз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орной деятельности. Главное их отличие от проверок в том, что при проведении профилактического визита юридическим лицам и индивидуальным предпринимателям не выдаются предписания об устранении нарушений обязательных требований, отсутствуют штрафы и санкции.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Профилактические визи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ты проводятся в форме профилактической беседы путем использования видео-конференц-связи и направлены на повышение информированности об обязательных требованиях законодательства о геодезии и картографии и их соблюдении. Фактически это выездные консультации.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Контролируемые лица имеют право подать заявление о проведении профилактического визита и консультирования.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Подача заявлений осуществляется посредством заполнения интерактивной формы на Госуслугах: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о проведении профилактического визита 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о консультировании.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11. Актуальные вопросы получения сведений из реестра недвижимости: итоги «горячей» линии.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30 января в филиале ППК «Роскадастр» по Новосибирской обл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асти прошла «горячая» линия по вопросам получения выписки из Единого государственного реестра недвижимости (ЕГРН). В рамках телефонного консультирования поступило несколько звонков от жителей региона. Приводим комментарии эксперта в формате «вопрос-ответ».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течение какого срока действительна выписка из ЕГРН?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Законодательно срок действия выписки из ЕГРН не ограничен, при этом сведения является актуальными на дату формирования документа. Позднее появляется вероятность, что в отношении объекта недвижимости произошли какие-то изменения, например, уточнение пл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ощади или регистрация сделки. В реестр недвижимости вносятся соответствующие изменения, состав сведений выписки также изменяется. Кроме того, организации, требующие предоставления выписки из ЕГРН, могут устанавливать срок действия выписки с даты ее выдачи.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Запросил выписку, но получил уведомление об отсутствии сведений в ЕГРН. Почему?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Уведомление 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 отсутствии сведений выдается в случаях, если в реестре недвижимости нет запрашиваемой информации об объекте или запрос подан некорректно. Оно может быть предъявлено, например, как подтверждение факта отсутствия объекта недвижимости и прав на него в ЕГРН.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Чтобы получить необходимые сведения, при подаче запроса следует внимательно проверять правильность указания информации об объекте, в отношении которого запрашивается выписка, и личных данных заявителя.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каких случаях можно вернуть внесенную плату за сведения?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Денежные средства можно вернуть в случае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ошибочно произведенной оплаты, если запрос на получение сведений не подавался, а также в случае внесения большей суммы. Возврату подлежат средства в размере, превышающем размер установленной платы, на основании заявления плательщика или его представителя.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Подать заявление о возврате платы за предоставлени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 сведений из ЕГРН можно лично или почтовым отправлением в Управление Росреестра по Новосибирской области (630091, г. Новосибирск, ул. Державина, 28) или в региональный филиал ППК «Роскадастр» (630087, г. Новосибирск, ул. Немировича-Данченко, 167, оф.703).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электронном виде заявление можно подать через личный кабинет на официальном сайте Росреестра с использованием электронной подписи.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 можно узнать стоимость выписки из ЕГРН?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1 января 2025 года вступил в силу приказ Росреестра от 28.10.2024 №П/0335/24, которым устанавливаются размеры платы за предоставление сведений.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Размер платы зависит от вида запрашиваемой информ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ации, формы предоставления сведений и типа заявителя. Так, например, стоимость выписки об основных характеристиках и зарегистрированных правах на объект недвижимости в бумажном виде для физических лиц составляет 920 рублей, в электронном виде – 570 рублей.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Плата, в два раза меньше установленной, предусмотрена для льготных категорий граждан: ветераны и инвалиды Великой Отечественной войны; ветераны боевых действий на территориях СССР, Российской Федерации и других государств;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дети-инвалиды; инвалиды с детства I группы; инвалиды I и II групп; физические лица, имеющие трех и более несовершеннолетних детей. Льгота распространяется только на сведения в отношении принадлежащих (принадлежавших) указанным лицам объектов недвижимости.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12.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 января 2025 года невостребованные земельные доли стали муниципальной собственностью.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2025 года изменился порядок прекращения права частной собственности на невостребованные земельные доли участков сельскохозяйственного назначения.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Под невостребованными понимаются земель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ные доли, которыми собственник не распоряжается в течение трех лет и более подряд, либо если о таком собственнике отсутствуют какие-либо сведения, при этом права на указанную земельную долю не зарегистрированы в Едином государственном реестре недвижимости.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Новосибирский Росреестр поясняет, что ранее (1990-е годы) членам колхозов осуществлялось предоставление паев в колхозных землях. Множество пайщиков свои права так и не оформили и фактически не используют эти земли.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Поскольку земля должна использоваться по целевому назначению, были установлены определенные законодательные механизмы для вовлечения в оборот таких заброшенных участков, кот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орые не нужны своим владельцам.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До 1 я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нваря 2025 года органы местного самоуправления обращались в суд с требованием о признании права муниципальной собственности на невостребованные земельные доли с целью их последующего вовлечения в сельхозоборот (продажа, предоставление в аренду иным лицам).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После 1 января 2025 года невостребованные земельные доли автоматически переходят в муниципальную собственность во внесудебном порядке в силу самого факта признания земельной доли невостребованной.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Государственная регистрация права муниципальной собственности на невостребованную земельную долю будет осуществляться на основании заявления органа местного самоуправления с представлением списка невостребованных земельных долей.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Список должен быть утвержден решением общего собрания участников долевой собственности на земельный участок из земель сельскохозяйственного назначе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ния либо органом местного самоуправления в случае, если общим собранием участников долевой собственности в течение четырех месяцев со дня опубликования списка органом местного самоуправления не принято решение по вопросу о невостребованных земельных долях.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13.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Итоги 2024 года: решение общих задач во взаимодействии.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5 февраля в мэрии города Новосибирска состоялось совещание по подведению итогов работы департамента земельных и имущественных отношений с участием руководителя Управления Росреестра по Новосибирской области Светланы Рягузовой.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Светлана Евгеньевна выступила с докладом, в котором осветила результаты совместной работы, обозначила актуальные вопросы взаимодействия новосибирского Росреестра и департамента.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«Сегодня Ед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иный государственный реестр недвижимости содержит более трех миллионов объектов Новосибирской области, 44% из них находятся на территории города Новосибирска, за год количество объектов в областном центре выросло почти на 3%», - сообщила Светлана Рягузова.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Руководитель Управления Росреестра особо подчеркнула положительные результаты совместной работы регистрирующего органа и департамента по решению задач по наполнению Единого государственног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 реестра недвижимости полными и точными данными о правообладателях объектов недвижимости, регистрации муниципальной собственности, реализации социально значимых проектов в рамках законов о «Дачной амнистии» и «Гаражной амнистии», формированию Банка земли.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 последний год доля объектов недвижимости в городе Новосибирске с зарегистрированными правами увеличилась на 1,7%, в отношении 83,7% зданий и сооружений установлена связь с земельными участками, на которых 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ни расположены. В городе Новосибирске выявлено 255 свободных участков и территорий для жилищного строительства, это 78% всех участков, выявленных в регионе, 54 участка уже вовлечены для строительства многоквартирных домов», - подчеркнула Светлана Рягузова.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Полнота и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качество сведений Единого государственного реестра недвижимости имеют существенное значение для развития города и региона в целом, в том числе влияют на их инвестиционную привлекательность, способствуют обеспечению защиты прав и законных интересов граждан.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завершении своего выступления руководитель новосибирского Росреестра отметила значимость совместной работы региональных, местных органов власти и регистрирующего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органа по созданию Национальной системы пространственных данных, призванной усовершенствовать механизмы эффективного управления территориями, а сервисы одноименной единой цифровой платформы станут надежным инструментом для принятия управленческих решений. 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14. Излишне уплаченную государственную пошлину Росреестр вернет.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получения услуг Росреестра по государственной регистрации прав на недвижимое имущество и сделок с ним необходимо уплатить государственную пошлину.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Встречаются случаи, ког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да государственная пошлина уплачена в большем размере, чем установлено законом, или у заявителя отпала необходимость подачи документов для оформления сделки с недвижимостью, а госпошлина уже оплачена. В данных ситуациях денежные средства подлежат возврату.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это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го плательщику либо его представителю, действующему на основании нотариально удостоверенной доверенности, следует подать заявление о возврате излишне уплаченной суммы государственной пошлины. Заявление можно подать как в бумажном, так и в электронном виде.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Прием заявлений осуществляется: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в офисах Управления Росреестра по Новосибирской области,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по почте на адрес ул. Державина, 28, г. Новосибирск, 630091,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через «Личный кабинет» официального сайта Росреестра в сети Интернет. Заявление, поданное в электронном виде, должно быть подписано усиленной квалифицированной электронной подписью.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 заявлению прилагаются платежные документы (подлинник или копия).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 о сроках…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Заявление о возврате излишне уплаченной (взысканной) суммы государственн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ой пошлины можно подать в течение трех лет со дня уплаты суммы. Денежные средства поступят на счет плательщика в течение одного месяца с даты подачи заявления о возврате при условии наличия всех подтверждающих документов, предусмотренных законодательством.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Обращаем внимание, что при отказе в государственной регистрации права уплаченная государственная пошлина за государственную регистрацию права не возвращается.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 прекращении государственной регистрации прав на основании соответствующих заявлений возвращается половина уплаченной суммы.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удобства получателей услуг Росреестра ведомством запущен новый сервис «Калькулятор госпошлины», который в режиме онлайн поможет предварительно рассчитать размер пошлины за проведение кадастрового учёта и регистрации прав на объекты недвижимости.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15.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Итоги 2024 года: результаты работы строительной отрасли в Новосибирске.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минувшую пятницу в мэрии города Новосибирска состоялось торжественное мероприятие, посвященное итогам работы строительной отрасли в 2024 году, при участии Управления Росреестра по Новосибирской области.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Руководитель Управления Светлана Рягузова продемонстрировала результаты регистрации новой недвижимости в 2024 году, рассказала о ключевых изменениях законодательства в 2025 году.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Новосибирская область на протяжении многих лет сохраняет лидирующие позиции в Сибирском федеральном округе по количеству заключенных договоров участия в долевом строительстве. «В 2024 году зарегистрировано свыше 32 ты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сяч договоров участия в долевом строительстве. Значительная часть новых объектов строится в областном центре, почти четверть всех зарегистрированных в городе в 2024 году сделок с новостройками приходится на Октябрьский район», - сообщила Светлана Рягузова.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дачи – не снижать темпы строительства жилых и социальных объектов, увеличить объемы инвестиций и сохранять темпы расселения аварийного жилого фонда – поставлены мэром города Новосибирска Максимом Кудрявцевым перед департаментом строительства и архитектуры.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словам мэра города, в 2024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году введено более 1,5 млн квадратных метров жилья, в 2025 году планируется ввести 1,3 млн квадратных метров. Продолжится работа по программам комплексного развития территории, переселения из ветхого и аварийного жилья, по вводу новых социальных объектов.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рамках обозначенных приоритетов новосибирский Росреестр уже не первый год взаимодействует с департаментом строительства и архитектуры мэрии города Новосибирска. Результатом данного сотрудничества стало повыше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ние качества подготовки документов для постановки новых объектов на государственный кадастровый учет, оперативное, за 1-2 дня, оформление новых объектов, обеспечение открытости сведений о завершении строительства многоквартирных домов на территории города.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своем выступлении руководитель новосибирского Росреестра акцентировала внимание участников на возможности Единой цифровой платформы «Национальная система пространственных данных»: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«Сервисы Национальной системы пространственных данных, созданные на основе потребностей граждан и бизнеса, помогут органам местного самоуправления решать вопросы предоставления недвижимости, управления территориями быстро и качественно».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vanish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За большой вклад в развитие строительной отрасли города Новосибирска по итогам работы в 2024 году коллектив Управления Росреестра по Новосибирской области награжден Почетной грамотой мэра города Новосибирска.</w:t>
      </w:r>
      <w:r>
        <w:rPr>
          <w:rFonts w:ascii="Times New Roman" w:hAnsi="Times New Roman" w:eastAsia="Calibri" w:cs="Times New Roman"/>
          <w:b w:val="0"/>
          <w:bCs w:val="0"/>
          <w:vanish/>
          <w:color w:val="000000"/>
          <w:sz w:val="28"/>
          <w:szCs w:val="28"/>
          <w:shd w:val="clear" w:color="ffffff" w:themeColor="background1" w:fill="ffffff" w:themeFill="background1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9525" cy="9525"/>
                <wp:effectExtent l="0" t="0" r="0" b="0"/>
                <wp:docPr id="27" name="_x0000_i105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3881437" name="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9524" cy="95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0.75pt;height:0.75pt;mso-wrap-distance-left:0.00pt;mso-wrap-distance-top:0.00pt;mso-wrap-distance-right:0.00pt;mso-wrap-distance-bottom:0.00pt;" stroked="f">
                <v:path textboxrect="0,0,0,0"/>
                <v:imagedata r:id="rId37" o:title=""/>
              </v:shape>
            </w:pict>
          </mc:Fallback>
        </mc:AlternateContent>
      </w:r>
      <w:r>
        <w:rPr>
          <w:rFonts w:ascii="Times New Roman" w:hAnsi="Times New Roman" w:eastAsia="Calibri" w:cs="Times New Roman"/>
          <w:vanish/>
          <w:color w:val="000000"/>
          <w14:ligatures w14:val="none"/>
        </w:rPr>
      </w:r>
      <w:r>
        <w:rPr>
          <w:rFonts w:ascii="Times New Roman" w:hAnsi="Times New Roman" w:eastAsia="Calibri" w:cs="Times New Roman"/>
          <w:vanish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16. Стратегическая сессия «Малоэтажная страна - регионы 2035».</w:t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рамках «Сибирской строительной недели – 2025» новосибирский Росреестр принял участие в стратегической сессии по вопросам индивидуа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льного жилищного строительства.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Участник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 мероприятия поделились мнениями по развитию рынка малоэтажной недвижимости, обсудили стимулирование создания доступной среды проживания и механизмы государственной поддержки развития малоэтажного строительства, механизмы комплексного развития территорий.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Модератором сессии выступил Владимир Дедюхин, руководитель комиссии по вопросам индивидуального жилищного строительства Общественного совета при Минстрое России.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Сессию открыл заместитель губернатора Новосибирской области Роман Теленчинов, отметив достаточно высокие позиции региона по вводу жилья.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Доля индивидуального жилищного строительства в общем объеме новостроек из года в год увеличивается: по данным регионального Минстроя, в 2024 году более 40% площади нового жилья приходится на ИЖС.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 росте строительства индивидуальных жилых домов в Новосибирской области  свидетельствуют и статистические данные Управления Росрее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стра, об этом сообщила в своем выступлении руководитель регистрирующего органа Светлана Рягузова: «В течение 2024 года в регионе построено более 6 тысяч новых индивидуальных жилых домов, это на 9% больше, чем в 2023 году, и на 17% больше, чем в 2022 году».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Новое строительство в Новосибирске в рамках комплексного развития территории позволит повысить ценность и привлекательность территории, будет способствовать созданию комфортной и доступной среды проживания.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«Сегодня в Новосибирске 21 проект комплексного развития территории находится на стадии реализации и 12 проектов – на стадии под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готовки. В отношении малоэтажного строительства можно сказать о двух площадках: в поселке Садовый (срок реализации – 2033 год) и микрорайон «Смарт-Сити» в Советском районе города между Академгородком и наукоградом Кольцово», - сообщила Светлана Евгеньевна.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Особое внимание участников было уделено проектам Росреестра «Земля для стройки» и «Земля для туризма» - как старт успешных проектов для строительного бизнеса.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качестве примеров участникам были продемонстрированы конкретные земельные участки, свободные для жилищного строительства и строительства инфраструктуры туризма, с возможностью строительства жилых домов, спортивных и оздоровительных объектов.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«Привлекательных участков в регионе немало, - сообщила Светлана Рягузова. – Свободные участки можно выбрать на Публичной кадастровой карте, которая «переехала» на единую цифровую платформу «Национальная система пространственных данных».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Сессия предоставила возможность для эффективного общения между представителями власти и бизнеса и выявила потребности современного покупателя малоэтажного жилья.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Международная выставка в области строительства и дизайна «Сибирская строительная неделя» и форум «Стратегии ускорения темпов строительства» проходят в МВК «Новосибирск Экспоцентр» с 11 по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14 февраля 2025 года. Деловая площадка форума включает круглые столы, стратегические сессии, в рамках которых девелоперы, застройщики, проектировщики, компании в сфере цифровизации строительной отрасли, органы власти обмениваются идеями, опытом и знаниями.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17. Об итогах проведения «горячей» линии.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новосибирском Росреестре 13 февраля 2025 года состоялась «горячая» телефонная линия по вопросам снятия запретов на совершение регистрационных действий с недвижимостью при банкротстве.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Публикуем ответы на поступившие в ходе телефонной линии вопросы новосибирцев.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 узнать о наличии записи в реестре недвижимости о запрете регистрационных действий?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получения сведений достаточно воспользоваться эл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ектронным сервисом Росреестра  «Справочная информация по объектам недвижимости в режиме online», который размещен на официальном сайте ведомства.  В форму поиска следует внести только адрес или кадастровый номер объекта. Сведения предоставляются бесплатно.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Информацию также можно получить через портал Госуслуг в личном кабинете, заказав онлайн-выписку из ЕГРН. Обращаем внимание, что выписку может получить только правообладатель.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Какова процедура внесения в Единый государственный реестр недвижимости сведений о снятии запрета?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Арбитражный суд при принятии решения о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признании должника банкротом самостоятельно направляет в Росреестр заверенную копию соответствующего решения, на его основании и вносится  соответствующая запись о погашении в Едином государственном реестре недвижимости записи об аресте имущества должника.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Какие запреты подлежат снятию в случае признания собственника объекта недвижимости банкротом?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Подлежат снятию запреты, наложенные до даты признания должника банкротом. Запреты и аресты, наложенные по уголовным делам, а также в рамках дела о банкротстве, снятию на основании решения Арбитражного суда о признании должника банкротом не подлежат.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18. 1134 населенных пункта Новосибирской области внесены в реестр недвижимости.</w:t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январе 2025 года в Единый государственный реестр недвижимости внесены сведения о границах еще 14 населенных пунктов Новосибирской области.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состоянию на 01.02.2025 в ЕГРН содержатся сведения о границах 1134 населенных пунктов из 1542 (73,5%).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Имеют границы: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городские округа Новосибирск, Искитим, Кольцово;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городское поселение Краснообск, известное в регионе как «ВАСХНИЛ»;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б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ольше половины районных центров – г. Барабинск, г. Карасук, г. Куйбышев, г. Купино, г. Тогучин, г. Татарск, г. Чулым, р.п. Колывань, р.п. Коченево, р.п. Краснозерское, р.п. Маслянино, р.п. Чистоозерное, с. Венгерово, с. Здвинск, с. Убинское, с. Усть-Тарка;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все населенные пункты Чулымского района (100%);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- 90% и более - в Венгеровском, Здвинском, Карасукском, Каргатском, Северном, Татарском, Убинском, Усть-Таркском районах;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более 80% - в Баганском, Барабинском, Краснозерском, Купинском, Кыштовском, Сузунском, Черепановском районах.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Некоторые населенные пункты нашего региона основаны более двух веков назад. В 2025 году исполняется: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- 330 лет деревне Кругликово Болотнинского района;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- 280 лет селу Усть-Алеус Ордынского района;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- 275 лет деревне Елфимово Болотнинского района;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- 255 лет деревне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Барсуково Маслянинского района;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- 250 лет деревне Решеты Кочковского района;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- 220 лет деревне Сургуты Северного района.</w:t>
      </w:r>
      <w:r>
        <w:rPr>
          <w:rFonts w:ascii="Times New Roman" w:hAnsi="Times New Roman" w:eastAsia="Calibri" w:cs="Times New Roman"/>
          <w:color w:val="000000"/>
          <w14:ligatures w14:val="none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bCs/>
          <w:vanish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pPr>
      <w:r>
        <w:rPr>
          <w:rFonts w:ascii="Times New Roman" w:hAnsi="Times New Roman" w:eastAsia="Calibri" w:cs="Times New Roman"/>
          <w:b/>
          <w:bCs/>
          <w:vanish/>
          <w:color w:val="000000"/>
          <w:sz w:val="28"/>
          <w:szCs w:val="28"/>
          <w:shd w:val="clear" w:color="ffffff" w:themeColor="background1" w:fill="ffffff" w:themeFill="background1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9525" cy="9525"/>
                <wp:effectExtent l="0" t="0" r="0" b="0"/>
                <wp:docPr id="28" name="_x0000_i106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1429688" name="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9524" cy="95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0.75pt;height:0.75pt;mso-wrap-distance-left:0.00pt;mso-wrap-distance-top:0.00pt;mso-wrap-distance-right:0.00pt;mso-wrap-distance-bottom:0.00pt;" stroked="f">
                <v:path textboxrect="0,0,0,0"/>
                <v:imagedata r:id="rId37" o:title=""/>
              </v:shape>
            </w:pict>
          </mc:Fallback>
        </mc:AlternateContent>
      </w:r>
      <w:r>
        <w:rPr>
          <w:rFonts w:ascii="Times New Roman" w:hAnsi="Times New Roman" w:eastAsia="Calibri" w:cs="Times New Roman"/>
          <w:b/>
          <w:bCs/>
          <w:vanish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  <w:r>
        <w:rPr>
          <w:rFonts w:ascii="Times New Roman" w:hAnsi="Times New Roman" w:eastAsia="Calibri" w:cs="Times New Roman"/>
          <w:b/>
          <w:bCs/>
          <w:vanish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19. 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Больше 600 домовладений новосибирских садоводов планируют газифицировать в 2025 году.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 2024 года садоводы региона могут бесплатно подвести газ к границам своего земельного участка в рамках прогр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аммы догазификации садовых некоммерческих товариществ (СНТ). Новосибирский Росреестр в рамках своих компетенций взаимодействует с органами власти, органами местного самоуправления и региональным оператором газификации с целью успешной реализации программы.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«В рамках программы социальной газификации новосибирским Росреестром оформлена 1 181 сеть газораспределения», - сообщила заместитель руководителя Управления Росреестра по Новосибирской области Наталья Ивчатова.  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Важно отметить, что для подведения газа к участку необходимо выполнить ряд условий, первое из которых – расположение СНТ в границах газифицированного населенного пункта.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«В Новосибирской области выполняется работа по догазификации СНТ, 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асположенных на территории уже газифицированных населенных пунктов. Сформирован пообъектный план-график догазификации домовладений в СНТ, который утвержден в рамках региональной программы газификации жилищно-коммунального хозяйства, промышленных и иных орг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анизаций на территории Новосибирской области 5 ноября 2024 года. План-график предусматривает создание технической возможности подключения до 2030 года для 8 054 домовладений в 236 СНТ. В 2025 году начнется работа по догазификации 663 домовладений на террит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ории 22 СНТ, расположенных на территории дачного поселка Мочище Новосибирского района, Бердска, Искитима и Новосибирска», – сообщил заместитель начальника отдела энергетики и газификации министерства ЖКХ и энергетики Новосибирской области Дмитрий Сапожков.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Актуализированный план-граф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ик догазификации СНТ размещен на региональной вкладке официального сайта Росреестра и на сайте министерства ЖКХ и энергетики Новосибирской области. Каждый может узнать, входит ли его домовладение в перечень объектов, а также о сроках запланированных работ.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Решение о включении в программу принимается на общем собрании членов товарищества. Заявку могут подать собственники самостоятельно или представитель СНТ с приложением протокола 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бщего собрания.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Для заключения договора о техническом присоединении заявителю нужно приложить к заявке схему с указанием расположения пла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нируемого к подключению дома и границы участка, на котором он расположен. Кроме того, сведения о правах на жилой дом и земельный участок должны быть внесены в Единый государственный реестр недвижимости (ЕГРН), что подтверждается соответствующими выписками.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Возможность подключиться к газу есть только у жилых домов – капитальных стро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ений, пригодных для постоянного проживания. В случае если дом имеет статус «садовый», может понадобиться процедура признания дома жилым. Решение о признании садового дома жилым принимает администрация населенного пункта, в границах которого расположен дом.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Если права на земельный участок не зарегистрированы, до 1 марта 2031 года члены СНТ могут бесплатно оформить находящийся в государственной или муниципальной собственности участок без проведения торгов.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Информацию о наличии или отсутствии сведений о регистрации прав на дом и земельный участок можно получить с помощью выписки из ЕГРН. Запросить документ можно на портале Госуслуг, в офисах МФЦ или в региональном Роскадастре.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Напомним, в 2021 году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была запущена программа социальной газификации – возможность бесплатно провести газ до границ своих участков в населенных пунктах, расположенных в сельской местности. В 2024 году участниками программы социальной газификации стали владельцы участков в СНТ.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Росреестр разработал путеводитель для садоводов, в которых в простой и доступной форме разъяснена процедура участия в программе.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20. Новосибирский Росреестр подвел итоги года на коллегии: результаты работы и перспективы на 2025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год.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18 февраля 2025 года в Управлении Росреестра по Новосибирской области прошла итогова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я коллегия с участием руководства и начальников структурных подразделений новосибирского Росреестра, председателя Общественного совета при Управлении, руководства филиала ППК «Роскадастр» по Новосибирской области, филиала ППК «Роскадастр» «ПО Инжгеодезия».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ходе заседания были обсуждены итоги работы новосибирского Росреестра и филиалов ППК «Роскадастр» за 2024 год, определены задачи на 2025 год.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Руководитель Управления Светлана Рягузова открыла заседание коллегии.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2024 году Управлением Росреестра по Но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восибирской области реализованы мероприятия по выполнению приоритетных целей и задач, поставленных государственной программы Российской Федерации «Национальная система пространственных данных», внедрением принципов внутренней и внешней клиентоцентричности.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«Положительная динамика отмечается по всем направлениям деятельности, - отметила Светлана Рягузова. -  Благодаря совместным действиям с региональными и местными органами власти удалось достичь достаточно высоких показателей по наполнению Единого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государственного реестра недвижимости (ЕГРН) полными и точными сведениями, что способствовало решению приоритетных задач в рамках запуска Федеральной государственной информационной системы «Единая цифровая платформа «Национальная система пространственных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данных».  Единая картографическая основа на территорию Новосибирской области создана на 94,7%. Региональные органы власти, местного самоуправления, профсообщества уже оценили эффективность использования сервисов ФГИС ЕЦП НСПД при оказании услуг населению».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Новосибирская область сохранила лидирующие позиции по регистрации ипотечных сделок и сделок на первичном рынке недвижимости среди регионов Сибирского федерального округа.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 ходе заседания также были обсуждены акт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уальные вопросы, связанные с популяризацией электронных услуг ведомства. В частности, было отмечено, что в 90% случаев документы, поступившие в электронном виде, регистрируются в течение одного рабочего дня. В течение года велась системная работа с професс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иональным сообществом в целях повышения качества подготовки документов для осуществления учетно-регистрационных действий, что позволило снизить долю решений о приостановлении до 1,4% и повысить уровень удовлетворенности граждан услугами ведомства до 99,9%.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«В рамках реализации Национальной системы пространственных данных во вза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имодействии с региональными органами власти и местного самоуправления проводится работа по формированию Банка земли. Новосибирская область в первой половине 2024 года стала лидером среди регионов Российской Федерации по выявлению объектов туристического ин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тереса. За прошедший год удалось вовлечь в оборот для жилищного строительства 283 гектара, уже семь новых многоквартирных домов введены в эксплуатацию», – рассказала Наталья Ивчатова, заместитель руководителя Управления Росреестра по Новосибирской области.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 результ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атах работы новосибирского Роскадастра за 2024 год сообщила и.о. директора филиала Оксана Макаренко: «Одним из основных видов деятельности филиала является предоставление сведений ЕГРН и государственного фонда данных, полученных в результате проведения зем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леустройства (ГФДЗ). С целью сокращения сроков выдачи сведений в филиале проводится работа по переводу реестровых дел в электронный вид: почти 47 тысяч отсканированных дел по итогам 2024 года. В ГФДЗ в электронном виде хранится более 204 тысяч документов».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Большое внимание уделяется совместной работе новосибирского Росреестра и регионального Роскадастра по исправлению реестровых ошибок, которое осуществляется без участия правообладателей, в том числе с применением мобиль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ного рабочего места высокоточного геодезического оборудования и беспилотного воздушного судна: в 2024 году проведено 22 полета филиалом Роскадастра и 19 полетов новосибирским Росреестром на территории более 1,4 тыс. га, исправлено 10 600 реестровых ошибок.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Нап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олнению сведений ЕГРН полными и точными сведениями способствовало проведение комплексных кадастровых работ – в 2024 году они проведены в отношении почти 7 тысяч объектов, доля земельных участков с установленными границами в результате увеличилась до 73,3%.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Выполнение комплексных кадастровых работ является одной из основных задач филиалов ППК «Роскадастр» на 2025 год.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«С января 2025 года филиал ППК «Роскадастр по Новосибирской области приступил к выполнению работ федерального значения на территории 125 кадастровых кварталов Новосибирской области, на территории 28 – планируется выполнить 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аботы геодезическим методом. В отношении 97 кадастровых кварталов работы будут выполняться совместно с филиалом ППК «Роскадастр» «ПО Инжгеодезия». На данный момент завершены работы по сбору исходных документов», – отметила в своем докладе Оксана Макаренко.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Исполнительный директор – директор филиала ППК «Роскадастр» «ПО Инжгеодезия» Юлия Чухвачева рассказала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 аэрофотосъёмочных работах 2025 года, необходимых для качественного проведения комплексных кадастровых работ федерального значения, о полевых и камеральных работах, которые направлены в том числе на формирование пространственных данных в масштабах страны.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«География работ филиала ППК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«Роскадастр» «ПО Инжгеодезия» в 2024 году охватила 14 субъектов Российской Федерации, в 12 из которых мы выполняли полевые работы. Выполнен полный комплекс работ по созданию Единой электронной картографической основы (ЕЭКО) в виде цифровых ортофотопланов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масштаба 1:2000 на территории населенных пунктов Алтайского края, Кемеровской области и Республики Алтай, созданы пункт фундаментальной астрономо-геодезической сети и пункты спутниковой геодезической сети 1 класса. Принято участие в создании ортофотопланов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масштаба 1:10000 – на территорию регионов Дальнего Востока. Созданы цифровые топографические карты масштабов 1:25000, 1:50000, 1:100000 на территории Новосибирской области, Алтайского края и Томской области для наполнения ЕЭКО», – сообщила Юлия Чухвачева.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Иван Пархоменко, заместитель руководителя Управления Росреестра по Новосибирской области, продемонстрировал результаты межведомственного взаимодействия и их влияние на качество данных ЕГРН. «В настоящее время ведется работа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по наполнению ЕГРН достоверными сведениями, в том числе в части паспортных данных, СНИЛС, адресов объектов недвижимости для того, чтобы собственники недвижимого имущества могли воспользоваться электронными сервисами Росреестра», – сообщил Иван Пархоменко.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Наталья Зайцев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а, заместитель руководителя Управления Росреестра по Новосибирской области, рассказала о работе с обращениями граждан и отметила, что одним из приоритетных направлений работы является соблюдение принципов клиентоцентричности, как внутренней, так и внешней.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Председатель Общественного совета при Управлении Над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ежда Вавилина отметила слаженную работу коллектива Росреестра в Новосибирской области: «Системный качественный анализ деятельности, который был представлен в выступлениях руководства Управления и филиалов ППК «Роскадастр», позволит увидеть риски, ресурсы 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 новые возможности для дальнейшего развития». Как представитель общественности, Надежда Дмитриевна рекомендовала больше внимания уделять вопросам формирования у населения представления об обеспечении безопасности данных собственников недвижимого имущества.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По итогам коллегии были приняты решения, направленные на повышение качества предоставл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яемых услуг и реализацию государственной программы «Национальная система пространственных данных», в числе приоритетов 2025 года: наполнение Единого государственного реестра недвижимости полными и точными сведениями, популяризация сервисов Единой цифровой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платформы «Национальная система пространственных данных», выявление и вовлечение свободных земельных участков в экономический оборот в рамках развития жилищного строительства и туризма в регионе, развитие внутренней и внешней клиентоцентричности ведомства.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  <w:t xml:space="preserve">21. Руководитель новосибирского Росреестра приняла участие в расширенном заседании коллегии региональной Минцифры.</w:t>
      </w: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Руководитель Управления Росреестра по Новосибирской области Светлана Рягузова приняла участие в расширенном заседании коллегии министерства цифрового развития и связи Новосибирской области, в рамках которого подведены итоги 2024 года, озвучены результаты 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региональных цифровых проектов.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Внедрение принципов клиентоцентричности, оптимизация социально-значимых услуг, переход на их проактивное предоставление, уход от бумажных документов, внедрение новых сервисов – в числе приоритетов отрасли.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Светлана Евгеньевна выступила с приветственным словом, отметив эффективность взаи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модействия новосибирского Росреестра и регионального министерства: «Повышение качества жизни населения региона, цифровая трансформация невозможны без совместной работы федеральных и региональных органов власти. Благодаря взаимодействию Управления Росреестр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а по Новосибирской области и региональной Минцифры удалось успешно реализовать ряд проектов: в регионе, в одном из первых в стране, организован МФЦ, а услуги Росреестра были включены в его работу в числе первых, развитие Системы межведомственного электронн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ого взаимодействия позволило минимизировать обращения граждан и юридических лиц при получении услуг Росреестра. В последние два года проведена большая совместная работа по объединению и структурированию сведений о недвижимости, содержащихся в различных рег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  <w:t xml:space="preserve">иональных базах данных, в единое пространство - Единую цифровую платформу «Национальная система пространственных данных, которая повысит эффективность принятия управленческих решений, позволит вывести предоставление услуг жителям области на новый уровень».</w:t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color w:val="000000"/>
          <w14:ligatures w14:val="none"/>
        </w:rPr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color w:val="000000"/>
          <w14:ligatures w14:val="none"/>
        </w:rPr>
      </w:r>
    </w:p>
    <w:p>
      <w:pPr>
        <w:contextualSpacing/>
        <w:ind w:firstLine="708"/>
        <w:jc w:val="both"/>
        <w:spacing w:line="240" w:lineRule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shd w:val="clear" w:color="ffffff" w:themeColor="background1" w:fill="ffffff" w:themeFill="background1"/>
          <w14:ligatures w14:val="none"/>
        </w:rPr>
      </w:r>
    </w:p>
    <w:sectPr>
      <w:headerReference w:type="default" r:id="rId9"/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  <w:footnote w:id="2">
    <w:p>
      <w:pPr>
        <w:pStyle w:val="1068"/>
      </w:pPr>
      <w:r>
        <w:rPr>
          <w:rStyle w:val="1069"/>
        </w:rPr>
        <w:footnoteRef/>
      </w:r>
      <w:r>
        <w:t xml:space="preserve"> </w:t>
      </w:r>
      <w:r>
        <w:rPr>
          <w:bCs/>
        </w:rPr>
        <w:t xml:space="preserve">Орган м</w:t>
      </w:r>
      <w:r>
        <w:rPr>
          <w:bCs/>
        </w:rPr>
        <w:t xml:space="preserve">естного самоуправления, уполномоченный на согласование перепланировки помещений в многоквартирном доме</w:t>
      </w:r>
      <w:r/>
    </w:p>
  </w:footnote>
  <w:footnote w:id="3">
    <w:p>
      <w:pPr>
        <w:pStyle w:val="1068"/>
      </w:pPr>
      <w:r>
        <w:rPr>
          <w:rStyle w:val="1069"/>
        </w:rPr>
        <w:footnoteRef/>
      </w:r>
      <w:r>
        <w:t xml:space="preserve"> </w:t>
      </w:r>
      <w:r>
        <w:rPr>
          <w:bCs/>
        </w:rPr>
        <w:t xml:space="preserve">Федеральный закон от 13.07.2015 № 218-ФЗ «О государственной регистрации недвижимости».</w:t>
      </w:r>
      <w:r/>
    </w:p>
  </w:footnote>
  <w:footnote w:id="4">
    <w:p>
      <w:pPr>
        <w:pStyle w:val="1068"/>
        <w:rPr>
          <w:bCs/>
        </w:rPr>
      </w:pPr>
      <w:r>
        <w:rPr>
          <w:rStyle w:val="1069"/>
        </w:rPr>
        <w:footnoteRef/>
      </w:r>
      <w:r>
        <w:t xml:space="preserve">  </w:t>
      </w:r>
      <w:r>
        <w:rPr>
          <w:bCs/>
        </w:rPr>
        <w:t xml:space="preserve">Многоквартирный дом</w:t>
      </w:r>
      <w:r>
        <w:rPr>
          <w:bCs/>
        </w:rPr>
      </w:r>
      <w:r>
        <w:rPr>
          <w:bCs/>
        </w:rPr>
      </w:r>
    </w:p>
  </w:footnote>
  <w:footnote w:id="5">
    <w:p>
      <w:pPr>
        <w:pStyle w:val="1068"/>
        <w:rPr>
          <w:bCs/>
        </w:rPr>
      </w:pPr>
      <w:r>
        <w:rPr>
          <w:rStyle w:val="1069"/>
        </w:rPr>
        <w:footnoteRef/>
      </w:r>
      <w:r>
        <w:t xml:space="preserve"> </w:t>
      </w:r>
      <w:r>
        <w:rPr>
          <w:bCs/>
        </w:rPr>
        <w:t xml:space="preserve">Налоговый кодекс Российской Федерации</w:t>
      </w:r>
      <w:r>
        <w:rPr>
          <w:bCs/>
        </w:rPr>
      </w:r>
      <w:r>
        <w:rPr>
          <w:bCs/>
        </w:rPr>
      </w:r>
    </w:p>
  </w:footnote>
  <w:footnote w:id="6">
    <w:p>
      <w:pPr>
        <w:pStyle w:val="1068"/>
      </w:pPr>
      <w:r>
        <w:rPr>
          <w:rStyle w:val="1069"/>
        </w:rPr>
        <w:footnoteRef/>
      </w:r>
      <w:r>
        <w:t xml:space="preserve"> </w:t>
      </w:r>
      <w:r>
        <w:rPr>
          <w:bCs/>
        </w:rPr>
        <w:t xml:space="preserve">Жилищный кодекс Российской Федерации</w:t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028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 xml:space="preserve">28</w:t>
    </w:r>
    <w:r>
      <w:fldChar w:fldCharType="end"/>
    </w:r>
    <w:r/>
  </w:p>
  <w:p>
    <w:pPr>
      <w:pStyle w:val="1028"/>
    </w:pPr>
    <w:r/>
    <w:r/>
  </w:p>
  <w:p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2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">
    <w:multiLevelType w:val="hybridMultilevel"/>
    <w:lvl w:ilvl="0">
      <w:start w:val="10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4" w:hanging="46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rFonts w:hint="default"/>
        <w:color w:val="auto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5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0">
    <w:multiLevelType w:val="hybridMultilevel"/>
    <w:lvl w:ilvl="0">
      <w:start w:val="19"/>
      <w:numFmt w:val="decimal"/>
      <w:isLgl w:val="false"/>
      <w:suff w:val="tab"/>
      <w:lvlText w:val="%1."/>
      <w:lvlJc w:val="left"/>
      <w:pPr>
        <w:ind w:left="1084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eastAsia="Times New Roman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15" w:hanging="615"/>
      </w:pPr>
    </w:lvl>
    <w:lvl w:ilvl="1">
      <w:start w:val="1"/>
      <w:numFmt w:val="decimal"/>
      <w:isLgl w:val="false"/>
      <w:suff w:val="tab"/>
      <w:lvlText w:val="%2."/>
      <w:lvlJc w:val="left"/>
      <w:pPr>
        <w:ind w:left="1951" w:hanging="720"/>
      </w:pPr>
      <w:rPr>
        <w:rFonts w:ascii="Times New Roman" w:hAnsi="Times New Roman" w:eastAsia="Calibri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18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4773" w:hanging="108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6004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7595" w:hanging="144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9186" w:hanging="180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0417" w:hanging="180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2008" w:hanging="216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63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num w:numId="1">
    <w:abstractNumId w:val="8"/>
  </w:num>
  <w:num w:numId="2">
    <w:abstractNumId w:val="26"/>
  </w:num>
  <w:num w:numId="3">
    <w:abstractNumId w:val="30"/>
  </w:num>
  <w:num w:numId="4">
    <w:abstractNumId w:val="16"/>
  </w:num>
  <w:num w:numId="5">
    <w:abstractNumId w:val="28"/>
  </w:num>
  <w:num w:numId="6">
    <w:abstractNumId w:val="21"/>
  </w:num>
  <w:num w:numId="7">
    <w:abstractNumId w:val="17"/>
  </w:num>
  <w:num w:numId="8">
    <w:abstractNumId w:val="14"/>
  </w:num>
  <w:num w:numId="9">
    <w:abstractNumId w:val="35"/>
  </w:num>
  <w:num w:numId="10">
    <w:abstractNumId w:val="19"/>
  </w:num>
  <w:num w:numId="11">
    <w:abstractNumId w:val="11"/>
  </w:num>
  <w:num w:numId="12">
    <w:abstractNumId w:val="33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24"/>
  </w:num>
  <w:num w:numId="18">
    <w:abstractNumId w:val="25"/>
  </w:num>
  <w:num w:numId="19">
    <w:abstractNumId w:val="22"/>
  </w:num>
  <w:num w:numId="20">
    <w:abstractNumId w:val="20"/>
  </w:num>
  <w:num w:numId="21">
    <w:abstractNumId w:val="31"/>
  </w:num>
  <w:num w:numId="22">
    <w:abstractNumId w:val="32"/>
  </w:num>
  <w:num w:numId="23">
    <w:abstractNumId w:val="2"/>
  </w:num>
  <w:num w:numId="24">
    <w:abstractNumId w:val="10"/>
  </w:num>
  <w:num w:numId="25">
    <w:abstractNumId w:val="6"/>
  </w:num>
  <w:num w:numId="26">
    <w:abstractNumId w:val="13"/>
  </w:num>
  <w:num w:numId="27">
    <w:abstractNumId w:val="7"/>
  </w:num>
  <w:num w:numId="28">
    <w:abstractNumId w:val="23"/>
  </w:num>
  <w:num w:numId="29">
    <w:abstractNumId w:val="4"/>
  </w:num>
  <w:num w:numId="30">
    <w:abstractNumId w:val="34"/>
  </w:num>
  <w:num w:numId="31">
    <w:abstractNumId w:val="29"/>
  </w:num>
  <w:num w:numId="32">
    <w:abstractNumId w:val="27"/>
  </w:num>
  <w:num w:numId="33">
    <w:abstractNumId w:val="15"/>
  </w:num>
  <w:num w:numId="34">
    <w:abstractNumId w:val="9"/>
  </w:num>
  <w:num w:numId="35">
    <w:abstractNumId w:val="0"/>
  </w:num>
  <w:num w:numId="36">
    <w:abstractNumId w:val="18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50">
    <w:name w:val="Heading 1 Char"/>
    <w:basedOn w:val="1021"/>
    <w:link w:val="1018"/>
    <w:uiPriority w:val="9"/>
    <w:rPr>
      <w:rFonts w:ascii="Arial" w:hAnsi="Arial" w:eastAsia="Arial" w:cs="Arial"/>
      <w:sz w:val="40"/>
      <w:szCs w:val="40"/>
    </w:rPr>
  </w:style>
  <w:style w:type="character" w:styleId="851">
    <w:name w:val="Heading 2 Char"/>
    <w:basedOn w:val="1021"/>
    <w:link w:val="1019"/>
    <w:uiPriority w:val="9"/>
    <w:rPr>
      <w:rFonts w:ascii="Arial" w:hAnsi="Arial" w:eastAsia="Arial" w:cs="Arial"/>
      <w:sz w:val="34"/>
    </w:rPr>
  </w:style>
  <w:style w:type="character" w:styleId="852">
    <w:name w:val="Heading 3 Char"/>
    <w:basedOn w:val="1021"/>
    <w:link w:val="1020"/>
    <w:uiPriority w:val="9"/>
    <w:rPr>
      <w:rFonts w:ascii="Arial" w:hAnsi="Arial" w:eastAsia="Arial" w:cs="Arial"/>
      <w:sz w:val="30"/>
      <w:szCs w:val="30"/>
    </w:rPr>
  </w:style>
  <w:style w:type="paragraph" w:styleId="853">
    <w:name w:val="Heading 4"/>
    <w:basedOn w:val="1017"/>
    <w:next w:val="1017"/>
    <w:link w:val="854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854">
    <w:name w:val="Heading 4 Char"/>
    <w:basedOn w:val="1021"/>
    <w:link w:val="853"/>
    <w:uiPriority w:val="9"/>
    <w:rPr>
      <w:rFonts w:ascii="Arial" w:hAnsi="Arial" w:eastAsia="Arial" w:cs="Arial"/>
      <w:b/>
      <w:bCs/>
      <w:sz w:val="26"/>
      <w:szCs w:val="26"/>
    </w:rPr>
  </w:style>
  <w:style w:type="paragraph" w:styleId="855">
    <w:name w:val="Heading 5"/>
    <w:basedOn w:val="1017"/>
    <w:next w:val="1017"/>
    <w:link w:val="856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856">
    <w:name w:val="Heading 5 Char"/>
    <w:basedOn w:val="1021"/>
    <w:link w:val="855"/>
    <w:uiPriority w:val="9"/>
    <w:rPr>
      <w:rFonts w:ascii="Arial" w:hAnsi="Arial" w:eastAsia="Arial" w:cs="Arial"/>
      <w:b/>
      <w:bCs/>
      <w:sz w:val="24"/>
      <w:szCs w:val="24"/>
    </w:rPr>
  </w:style>
  <w:style w:type="paragraph" w:styleId="857">
    <w:name w:val="Heading 6"/>
    <w:basedOn w:val="1017"/>
    <w:next w:val="1017"/>
    <w:link w:val="858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58">
    <w:name w:val="Heading 6 Char"/>
    <w:basedOn w:val="1021"/>
    <w:link w:val="857"/>
    <w:uiPriority w:val="9"/>
    <w:rPr>
      <w:rFonts w:ascii="Arial" w:hAnsi="Arial" w:eastAsia="Arial" w:cs="Arial"/>
      <w:b/>
      <w:bCs/>
      <w:sz w:val="22"/>
      <w:szCs w:val="22"/>
    </w:rPr>
  </w:style>
  <w:style w:type="paragraph" w:styleId="859">
    <w:name w:val="Heading 7"/>
    <w:basedOn w:val="1017"/>
    <w:next w:val="1017"/>
    <w:link w:val="860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60">
    <w:name w:val="Heading 7 Char"/>
    <w:basedOn w:val="1021"/>
    <w:link w:val="85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861">
    <w:name w:val="Heading 8"/>
    <w:basedOn w:val="1017"/>
    <w:next w:val="1017"/>
    <w:link w:val="862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862">
    <w:name w:val="Heading 8 Char"/>
    <w:basedOn w:val="1021"/>
    <w:link w:val="861"/>
    <w:uiPriority w:val="9"/>
    <w:rPr>
      <w:rFonts w:ascii="Arial" w:hAnsi="Arial" w:eastAsia="Arial" w:cs="Arial"/>
      <w:i/>
      <w:iCs/>
      <w:sz w:val="22"/>
      <w:szCs w:val="22"/>
    </w:rPr>
  </w:style>
  <w:style w:type="paragraph" w:styleId="863">
    <w:name w:val="Heading 9"/>
    <w:basedOn w:val="1017"/>
    <w:next w:val="1017"/>
    <w:link w:val="864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64">
    <w:name w:val="Heading 9 Char"/>
    <w:basedOn w:val="1021"/>
    <w:link w:val="863"/>
    <w:uiPriority w:val="9"/>
    <w:rPr>
      <w:rFonts w:ascii="Arial" w:hAnsi="Arial" w:eastAsia="Arial" w:cs="Arial"/>
      <w:i/>
      <w:iCs/>
      <w:sz w:val="21"/>
      <w:szCs w:val="21"/>
    </w:rPr>
  </w:style>
  <w:style w:type="paragraph" w:styleId="865">
    <w:name w:val="Title"/>
    <w:basedOn w:val="1017"/>
    <w:next w:val="1017"/>
    <w:link w:val="866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866">
    <w:name w:val="Title Char"/>
    <w:basedOn w:val="1021"/>
    <w:link w:val="865"/>
    <w:uiPriority w:val="10"/>
    <w:rPr>
      <w:sz w:val="48"/>
      <w:szCs w:val="48"/>
    </w:rPr>
  </w:style>
  <w:style w:type="paragraph" w:styleId="867">
    <w:name w:val="Subtitle"/>
    <w:basedOn w:val="1017"/>
    <w:next w:val="1017"/>
    <w:link w:val="868"/>
    <w:uiPriority w:val="11"/>
    <w:qFormat/>
    <w:pPr>
      <w:spacing w:before="200" w:after="200"/>
    </w:pPr>
    <w:rPr>
      <w:sz w:val="24"/>
      <w:szCs w:val="24"/>
    </w:rPr>
  </w:style>
  <w:style w:type="character" w:styleId="868">
    <w:name w:val="Subtitle Char"/>
    <w:basedOn w:val="1021"/>
    <w:link w:val="867"/>
    <w:uiPriority w:val="11"/>
    <w:rPr>
      <w:sz w:val="24"/>
      <w:szCs w:val="24"/>
    </w:rPr>
  </w:style>
  <w:style w:type="paragraph" w:styleId="869">
    <w:name w:val="Quote"/>
    <w:basedOn w:val="1017"/>
    <w:next w:val="1017"/>
    <w:link w:val="870"/>
    <w:uiPriority w:val="29"/>
    <w:qFormat/>
    <w:pPr>
      <w:ind w:left="720" w:right="720"/>
    </w:pPr>
    <w:rPr>
      <w:i/>
    </w:rPr>
  </w:style>
  <w:style w:type="character" w:styleId="870">
    <w:name w:val="Quote Char"/>
    <w:link w:val="869"/>
    <w:uiPriority w:val="29"/>
    <w:rPr>
      <w:i/>
    </w:rPr>
  </w:style>
  <w:style w:type="paragraph" w:styleId="871">
    <w:name w:val="Intense Quote"/>
    <w:basedOn w:val="1017"/>
    <w:next w:val="1017"/>
    <w:link w:val="872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72">
    <w:name w:val="Intense Quote Char"/>
    <w:link w:val="871"/>
    <w:uiPriority w:val="30"/>
    <w:rPr>
      <w:i/>
    </w:rPr>
  </w:style>
  <w:style w:type="character" w:styleId="873">
    <w:name w:val="Header Char"/>
    <w:basedOn w:val="1021"/>
    <w:link w:val="1028"/>
    <w:uiPriority w:val="99"/>
  </w:style>
  <w:style w:type="character" w:styleId="874">
    <w:name w:val="Footer Char"/>
    <w:basedOn w:val="1021"/>
    <w:link w:val="1054"/>
    <w:uiPriority w:val="99"/>
  </w:style>
  <w:style w:type="paragraph" w:styleId="875">
    <w:name w:val="Caption"/>
    <w:basedOn w:val="1017"/>
    <w:next w:val="101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876">
    <w:name w:val="Caption Char"/>
    <w:basedOn w:val="875"/>
    <w:link w:val="1054"/>
    <w:uiPriority w:val="99"/>
  </w:style>
  <w:style w:type="table" w:styleId="877">
    <w:name w:val="Table Grid Light"/>
    <w:basedOn w:val="102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78">
    <w:name w:val="Plain Table 1"/>
    <w:basedOn w:val="102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79">
    <w:name w:val="Plain Table 2"/>
    <w:basedOn w:val="102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80">
    <w:name w:val="Plain Table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81">
    <w:name w:val="Plain Table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2">
    <w:name w:val="Plain Table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83">
    <w:name w:val="Grid Table 1 Light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4">
    <w:name w:val="Grid Table 1 Light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5">
    <w:name w:val="Grid Table 1 Light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6">
    <w:name w:val="Grid Table 1 Light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7">
    <w:name w:val="Grid Table 1 Light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8">
    <w:name w:val="Grid Table 1 Light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9">
    <w:name w:val="Grid Table 1 Light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0">
    <w:name w:val="Grid Table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1">
    <w:name w:val="Grid Table 2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2">
    <w:name w:val="Grid Table 2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3">
    <w:name w:val="Grid Table 2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4">
    <w:name w:val="Grid Table 2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5">
    <w:name w:val="Grid Table 2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6">
    <w:name w:val="Grid Table 2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7">
    <w:name w:val="Grid Table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8">
    <w:name w:val="Grid Table 3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9">
    <w:name w:val="Grid Table 3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0">
    <w:name w:val="Grid Table 3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1">
    <w:name w:val="Grid Table 3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2">
    <w:name w:val="Grid Table 3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3">
    <w:name w:val="Grid Table 3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4">
    <w:name w:val="Grid Table 4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905">
    <w:name w:val="Grid Table 4 - Accent 1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906">
    <w:name w:val="Grid Table 4 - Accent 2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907">
    <w:name w:val="Grid Table 4 - Accent 3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908">
    <w:name w:val="Grid Table 4 - Accent 4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909">
    <w:name w:val="Grid Table 4 - Accent 5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910">
    <w:name w:val="Grid Table 4 - Accent 6"/>
    <w:basedOn w:val="102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911">
    <w:name w:val="Grid Table 5 Dark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912">
    <w:name w:val="Grid Table 5 Dark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913">
    <w:name w:val="Grid Table 5 Dark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914">
    <w:name w:val="Grid Table 5 Dark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915">
    <w:name w:val="Grid Table 5 Dark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916">
    <w:name w:val="Grid Table 5 Dark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917">
    <w:name w:val="Grid Table 5 Dark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18">
    <w:name w:val="Grid Table 6 Colorful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9">
    <w:name w:val="Grid Table 6 Colorful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0">
    <w:name w:val="Grid Table 6 Colorful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21">
    <w:name w:val="Grid Table 6 Colorful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22">
    <w:name w:val="Grid Table 6 Colorful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23">
    <w:name w:val="Grid Table 6 Colorful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24">
    <w:name w:val="Grid Table 6 Colorful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25">
    <w:name w:val="Grid Table 7 Colorful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6">
    <w:name w:val="Grid Table 7 Colorful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7">
    <w:name w:val="Grid Table 7 Colorful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8">
    <w:name w:val="Grid Table 7 Colorful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9">
    <w:name w:val="Grid Table 7 Colorful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0">
    <w:name w:val="Grid Table 7 Colorful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1">
    <w:name w:val="Grid Table 7 Colorful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2">
    <w:name w:val="List Table 1 Light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3">
    <w:name w:val="List Table 1 Light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4">
    <w:name w:val="List Table 1 Light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5">
    <w:name w:val="List Table 1 Light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6">
    <w:name w:val="List Table 1 Light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7">
    <w:name w:val="List Table 1 Light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8">
    <w:name w:val="List Table 1 Light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9">
    <w:name w:val="List Table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940">
    <w:name w:val="List Table 2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941">
    <w:name w:val="List Table 2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942">
    <w:name w:val="List Table 2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943">
    <w:name w:val="List Table 2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944">
    <w:name w:val="List Table 2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945">
    <w:name w:val="List Table 2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946">
    <w:name w:val="List Table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47">
    <w:name w:val="List Table 3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48">
    <w:name w:val="List Table 3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49">
    <w:name w:val="List Table 3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0">
    <w:name w:val="List Table 3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1">
    <w:name w:val="List Table 3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2">
    <w:name w:val="List Table 3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3">
    <w:name w:val="List Table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4">
    <w:name w:val="List Table 4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5">
    <w:name w:val="List Table 4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6">
    <w:name w:val="List Table 4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7">
    <w:name w:val="List Table 4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8">
    <w:name w:val="List Table 4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59">
    <w:name w:val="List Table 4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60">
    <w:name w:val="List Table 5 Dark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1">
    <w:name w:val="List Table 5 Dark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2">
    <w:name w:val="List Table 5 Dark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3">
    <w:name w:val="List Table 5 Dark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4">
    <w:name w:val="List Table 5 Dark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5">
    <w:name w:val="List Table 5 Dark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6">
    <w:name w:val="List Table 5 Dark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67">
    <w:name w:val="List Table 6 Colorful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968">
    <w:name w:val="List Table 6 Colorful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969">
    <w:name w:val="List Table 6 Colorful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970">
    <w:name w:val="List Table 6 Colorful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971">
    <w:name w:val="List Table 6 Colorful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972">
    <w:name w:val="List Table 6 Colorful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973">
    <w:name w:val="List Table 6 Colorful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974">
    <w:name w:val="List Table 7 Colorful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975">
    <w:name w:val="List Table 7 Colorful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976">
    <w:name w:val="List Table 7 Colorful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977">
    <w:name w:val="List Table 7 Colorful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978">
    <w:name w:val="List Table 7 Colorful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979">
    <w:name w:val="List Table 7 Colorful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980">
    <w:name w:val="List Table 7 Colorful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981">
    <w:name w:val="Lined - Accent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82">
    <w:name w:val="Lined - Accent 1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83">
    <w:name w:val="Lined - Accent 2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84">
    <w:name w:val="Lined - Accent 3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85">
    <w:name w:val="Lined - Accent 4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86">
    <w:name w:val="Lined - Accent 5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87">
    <w:name w:val="Lined - Accent 6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88">
    <w:name w:val="Bordered &amp; Lined - Accent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89">
    <w:name w:val="Bordered &amp; Lined - Accent 1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90">
    <w:name w:val="Bordered &amp; Lined - Accent 2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91">
    <w:name w:val="Bordered &amp; Lined - Accent 3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92">
    <w:name w:val="Bordered &amp; Lined - Accent 4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93">
    <w:name w:val="Bordered &amp; Lined - Accent 5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94">
    <w:name w:val="Bordered &amp; Lined - Accent 6"/>
    <w:basedOn w:val="102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95">
    <w:name w:val="Bordered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96">
    <w:name w:val="Bordered - Accent 1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97">
    <w:name w:val="Bordered - Accent 2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98">
    <w:name w:val="Bordered - Accent 3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99">
    <w:name w:val="Bordered - Accent 4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000">
    <w:name w:val="Bordered - Accent 5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001">
    <w:name w:val="Bordered - Accent 6"/>
    <w:basedOn w:val="102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002">
    <w:name w:val="Footnote Text Char"/>
    <w:link w:val="1035"/>
    <w:uiPriority w:val="99"/>
    <w:rPr>
      <w:sz w:val="18"/>
    </w:rPr>
  </w:style>
  <w:style w:type="paragraph" w:styleId="1003">
    <w:name w:val="endnote text"/>
    <w:basedOn w:val="1017"/>
    <w:link w:val="1004"/>
    <w:uiPriority w:val="99"/>
    <w:semiHidden/>
    <w:unhideWhenUsed/>
    <w:pPr>
      <w:spacing w:after="0" w:line="240" w:lineRule="auto"/>
    </w:pPr>
    <w:rPr>
      <w:sz w:val="20"/>
    </w:rPr>
  </w:style>
  <w:style w:type="character" w:styleId="1004">
    <w:name w:val="Endnote Text Char"/>
    <w:link w:val="1003"/>
    <w:uiPriority w:val="99"/>
    <w:rPr>
      <w:sz w:val="20"/>
    </w:rPr>
  </w:style>
  <w:style w:type="character" w:styleId="1005">
    <w:name w:val="endnote reference"/>
    <w:basedOn w:val="1021"/>
    <w:uiPriority w:val="99"/>
    <w:semiHidden/>
    <w:unhideWhenUsed/>
    <w:rPr>
      <w:vertAlign w:val="superscript"/>
    </w:rPr>
  </w:style>
  <w:style w:type="paragraph" w:styleId="1006">
    <w:name w:val="toc 1"/>
    <w:basedOn w:val="1017"/>
    <w:next w:val="1017"/>
    <w:uiPriority w:val="39"/>
    <w:unhideWhenUsed/>
    <w:pPr>
      <w:ind w:left="0" w:right="0" w:firstLine="0"/>
      <w:spacing w:after="57"/>
    </w:pPr>
  </w:style>
  <w:style w:type="paragraph" w:styleId="1007">
    <w:name w:val="toc 2"/>
    <w:basedOn w:val="1017"/>
    <w:next w:val="1017"/>
    <w:uiPriority w:val="39"/>
    <w:unhideWhenUsed/>
    <w:pPr>
      <w:ind w:left="283" w:right="0" w:firstLine="0"/>
      <w:spacing w:after="57"/>
    </w:pPr>
  </w:style>
  <w:style w:type="paragraph" w:styleId="1008">
    <w:name w:val="toc 3"/>
    <w:basedOn w:val="1017"/>
    <w:next w:val="1017"/>
    <w:uiPriority w:val="39"/>
    <w:unhideWhenUsed/>
    <w:pPr>
      <w:ind w:left="567" w:right="0" w:firstLine="0"/>
      <w:spacing w:after="57"/>
    </w:pPr>
  </w:style>
  <w:style w:type="paragraph" w:styleId="1009">
    <w:name w:val="toc 4"/>
    <w:basedOn w:val="1017"/>
    <w:next w:val="1017"/>
    <w:uiPriority w:val="39"/>
    <w:unhideWhenUsed/>
    <w:pPr>
      <w:ind w:left="850" w:right="0" w:firstLine="0"/>
      <w:spacing w:after="57"/>
    </w:pPr>
  </w:style>
  <w:style w:type="paragraph" w:styleId="1010">
    <w:name w:val="toc 5"/>
    <w:basedOn w:val="1017"/>
    <w:next w:val="1017"/>
    <w:uiPriority w:val="39"/>
    <w:unhideWhenUsed/>
    <w:pPr>
      <w:ind w:left="1134" w:right="0" w:firstLine="0"/>
      <w:spacing w:after="57"/>
    </w:pPr>
  </w:style>
  <w:style w:type="paragraph" w:styleId="1011">
    <w:name w:val="toc 6"/>
    <w:basedOn w:val="1017"/>
    <w:next w:val="1017"/>
    <w:uiPriority w:val="39"/>
    <w:unhideWhenUsed/>
    <w:pPr>
      <w:ind w:left="1417" w:right="0" w:firstLine="0"/>
      <w:spacing w:after="57"/>
    </w:pPr>
  </w:style>
  <w:style w:type="paragraph" w:styleId="1012">
    <w:name w:val="toc 7"/>
    <w:basedOn w:val="1017"/>
    <w:next w:val="1017"/>
    <w:uiPriority w:val="39"/>
    <w:unhideWhenUsed/>
    <w:pPr>
      <w:ind w:left="1701" w:right="0" w:firstLine="0"/>
      <w:spacing w:after="57"/>
    </w:pPr>
  </w:style>
  <w:style w:type="paragraph" w:styleId="1013">
    <w:name w:val="toc 8"/>
    <w:basedOn w:val="1017"/>
    <w:next w:val="1017"/>
    <w:uiPriority w:val="39"/>
    <w:unhideWhenUsed/>
    <w:pPr>
      <w:ind w:left="1984" w:right="0" w:firstLine="0"/>
      <w:spacing w:after="57"/>
    </w:pPr>
  </w:style>
  <w:style w:type="paragraph" w:styleId="1014">
    <w:name w:val="toc 9"/>
    <w:basedOn w:val="1017"/>
    <w:next w:val="1017"/>
    <w:uiPriority w:val="39"/>
    <w:unhideWhenUsed/>
    <w:pPr>
      <w:ind w:left="2268" w:right="0" w:firstLine="0"/>
      <w:spacing w:after="57"/>
    </w:pPr>
  </w:style>
  <w:style w:type="paragraph" w:styleId="1015">
    <w:name w:val="TOC Heading"/>
    <w:uiPriority w:val="39"/>
    <w:unhideWhenUsed/>
  </w:style>
  <w:style w:type="paragraph" w:styleId="1016">
    <w:name w:val="table of figures"/>
    <w:basedOn w:val="1017"/>
    <w:next w:val="1017"/>
    <w:uiPriority w:val="99"/>
    <w:unhideWhenUsed/>
    <w:pPr>
      <w:spacing w:after="0" w:afterAutospacing="0"/>
    </w:pPr>
  </w:style>
  <w:style w:type="paragraph" w:styleId="1017" w:default="1">
    <w:name w:val="Normal"/>
    <w:qFormat/>
  </w:style>
  <w:style w:type="paragraph" w:styleId="1018">
    <w:name w:val="Heading 1"/>
    <w:basedOn w:val="1017"/>
    <w:link w:val="1024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1019">
    <w:name w:val="Heading 2"/>
    <w:basedOn w:val="1017"/>
    <w:next w:val="1017"/>
    <w:link w:val="1041"/>
    <w:uiPriority w:val="9"/>
    <w:unhideWhenUsed/>
    <w:qFormat/>
    <w:pPr>
      <w:keepLines/>
      <w:keepNext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1020">
    <w:name w:val="Heading 3"/>
    <w:basedOn w:val="1017"/>
    <w:next w:val="1017"/>
    <w:link w:val="1062"/>
    <w:uiPriority w:val="9"/>
    <w:semiHidden/>
    <w:unhideWhenUsed/>
    <w:qFormat/>
    <w:pPr>
      <w:keepLines/>
      <w:keepNext/>
      <w:spacing w:before="40" w:after="0"/>
      <w:outlineLvl w:val="2"/>
    </w:pPr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character" w:styleId="1021" w:default="1">
    <w:name w:val="Default Paragraph Font"/>
    <w:uiPriority w:val="1"/>
    <w:semiHidden/>
    <w:unhideWhenUsed/>
  </w:style>
  <w:style w:type="table" w:styleId="1022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1023" w:default="1">
    <w:name w:val="No List"/>
    <w:uiPriority w:val="99"/>
    <w:semiHidden/>
    <w:unhideWhenUsed/>
  </w:style>
  <w:style w:type="character" w:styleId="1024" w:customStyle="1">
    <w:name w:val="Заголовок 1 Знак"/>
    <w:basedOn w:val="1021"/>
    <w:link w:val="1018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1025" w:customStyle="1">
    <w:name w:val="ConsPlusNormal"/>
    <w:link w:val="1026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1026" w:customStyle="1">
    <w:name w:val="ConsPlusNormal Знак"/>
    <w:basedOn w:val="1021"/>
    <w:link w:val="1025"/>
    <w:rPr>
      <w:rFonts w:ascii="Arial" w:hAnsi="Arial" w:eastAsia="Times New Roman" w:cs="Arial"/>
      <w:sz w:val="20"/>
      <w:szCs w:val="20"/>
      <w:lang w:eastAsia="ru-RU"/>
    </w:rPr>
  </w:style>
  <w:style w:type="character" w:styleId="1027">
    <w:name w:val="Hyperlink"/>
    <w:basedOn w:val="1021"/>
    <w:unhideWhenUsed/>
    <w:rPr>
      <w:color w:val="0000ff"/>
      <w:u w:val="single"/>
    </w:rPr>
  </w:style>
  <w:style w:type="paragraph" w:styleId="1028">
    <w:name w:val="Header"/>
    <w:basedOn w:val="1017"/>
    <w:link w:val="1029"/>
    <w:uiPriority w:val="99"/>
    <w:pPr>
      <w:spacing w:after="0" w:line="240" w:lineRule="auto"/>
      <w:tabs>
        <w:tab w:val="center" w:pos="4677" w:leader="none"/>
        <w:tab w:val="right" w:pos="9355" w:leader="none"/>
      </w:tabs>
    </w:pPr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1029" w:customStyle="1">
    <w:name w:val="Верхний колонтитул Знак"/>
    <w:basedOn w:val="1021"/>
    <w:link w:val="1028"/>
    <w:uiPriority w:val="99"/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1030" w:customStyle="1">
    <w:name w:val="title1"/>
    <w:basedOn w:val="1021"/>
  </w:style>
  <w:style w:type="paragraph" w:styleId="1031">
    <w:name w:val="Balloon Text"/>
    <w:basedOn w:val="1017"/>
    <w:link w:val="103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1032" w:customStyle="1">
    <w:name w:val="Текст выноски Знак"/>
    <w:basedOn w:val="1021"/>
    <w:link w:val="1031"/>
    <w:uiPriority w:val="99"/>
    <w:semiHidden/>
    <w:rPr>
      <w:rFonts w:ascii="Tahoma" w:hAnsi="Tahoma" w:cs="Tahoma"/>
      <w:sz w:val="16"/>
      <w:szCs w:val="16"/>
    </w:rPr>
  </w:style>
  <w:style w:type="paragraph" w:styleId="1033">
    <w:name w:val="Normal (Web)"/>
    <w:basedOn w:val="1017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34">
    <w:name w:val="Table Grid"/>
    <w:basedOn w:val="1022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35">
    <w:name w:val="footnote text"/>
    <w:basedOn w:val="1017"/>
    <w:link w:val="1036"/>
    <w:uiPriority w:val="99"/>
    <w:unhideWhenUsed/>
    <w:pPr>
      <w:spacing w:after="0" w:line="240" w:lineRule="auto"/>
    </w:pPr>
    <w:rPr>
      <w:sz w:val="20"/>
      <w:szCs w:val="20"/>
    </w:rPr>
  </w:style>
  <w:style w:type="character" w:styleId="1036" w:customStyle="1">
    <w:name w:val="Текст сноски Знак"/>
    <w:basedOn w:val="1021"/>
    <w:link w:val="1035"/>
    <w:uiPriority w:val="99"/>
    <w:rPr>
      <w:sz w:val="20"/>
      <w:szCs w:val="20"/>
    </w:rPr>
  </w:style>
  <w:style w:type="character" w:styleId="1037">
    <w:name w:val="footnote reference"/>
    <w:basedOn w:val="1021"/>
    <w:uiPriority w:val="99"/>
    <w:unhideWhenUsed/>
    <w:rPr>
      <w:vertAlign w:val="superscript"/>
    </w:rPr>
  </w:style>
  <w:style w:type="paragraph" w:styleId="1038">
    <w:name w:val="List Paragraph"/>
    <w:basedOn w:val="1017"/>
    <w:uiPriority w:val="34"/>
    <w:qFormat/>
    <w:pPr>
      <w:contextualSpacing/>
      <w:ind w:left="720"/>
      <w:spacing w:after="160" w:line="259" w:lineRule="auto"/>
    </w:pPr>
  </w:style>
  <w:style w:type="paragraph" w:styleId="1039">
    <w:name w:val="Body Text"/>
    <w:basedOn w:val="1017"/>
    <w:link w:val="1040"/>
    <w:uiPriority w:val="1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  <w:sz w:val="28"/>
      <w:szCs w:val="28"/>
    </w:rPr>
  </w:style>
  <w:style w:type="character" w:styleId="1040" w:customStyle="1">
    <w:name w:val="Основной текст Знак"/>
    <w:basedOn w:val="1021"/>
    <w:link w:val="1039"/>
    <w:uiPriority w:val="1"/>
    <w:rPr>
      <w:rFonts w:ascii="Times New Roman" w:hAnsi="Times New Roman" w:eastAsia="Times New Roman" w:cs="Times New Roman"/>
      <w:sz w:val="28"/>
      <w:szCs w:val="28"/>
    </w:rPr>
  </w:style>
  <w:style w:type="character" w:styleId="1041" w:customStyle="1">
    <w:name w:val="Заголовок 2 Знак"/>
    <w:basedOn w:val="1021"/>
    <w:link w:val="1019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1042" w:customStyle="1">
    <w:name w:val="Абзац списка1"/>
    <w:basedOn w:val="1017"/>
    <w:pPr>
      <w:contextualSpacing/>
      <w:ind w:left="720"/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1043">
    <w:name w:val="Strong"/>
    <w:basedOn w:val="1021"/>
    <w:uiPriority w:val="22"/>
    <w:qFormat/>
    <w:rPr>
      <w:b/>
      <w:bCs/>
    </w:rPr>
  </w:style>
  <w:style w:type="character" w:styleId="1044" w:customStyle="1">
    <w:name w:val="news__arrowdesktop"/>
    <w:basedOn w:val="1021"/>
  </w:style>
  <w:style w:type="paragraph" w:styleId="1045" w:customStyle="1">
    <w:name w:val="align_center"/>
    <w:basedOn w:val="1017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46" w:customStyle="1">
    <w:name w:val="no-indent"/>
    <w:basedOn w:val="1017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47">
    <w:name w:val="No Spacing"/>
    <w:link w:val="1060"/>
    <w:uiPriority w:val="1"/>
    <w:qFormat/>
    <w:pPr>
      <w:spacing w:after="0" w:line="240" w:lineRule="auto"/>
    </w:pPr>
  </w:style>
  <w:style w:type="character" w:styleId="1048" w:customStyle="1">
    <w:name w:val="Текст примечания Знак"/>
    <w:basedOn w:val="1021"/>
    <w:link w:val="1049"/>
    <w:uiPriority w:val="99"/>
    <w:semiHidden/>
    <w:rPr>
      <w:sz w:val="20"/>
      <w:szCs w:val="20"/>
    </w:rPr>
  </w:style>
  <w:style w:type="paragraph" w:styleId="1049">
    <w:name w:val="annotation text"/>
    <w:basedOn w:val="1017"/>
    <w:link w:val="1048"/>
    <w:uiPriority w:val="99"/>
    <w:semiHidden/>
    <w:unhideWhenUsed/>
    <w:pPr>
      <w:spacing w:after="160" w:line="240" w:lineRule="auto"/>
    </w:pPr>
    <w:rPr>
      <w:sz w:val="20"/>
      <w:szCs w:val="20"/>
    </w:rPr>
  </w:style>
  <w:style w:type="character" w:styleId="1050" w:customStyle="1">
    <w:name w:val="Текст примечания Знак1"/>
    <w:basedOn w:val="1021"/>
    <w:uiPriority w:val="99"/>
    <w:semiHidden/>
    <w:rPr>
      <w:sz w:val="20"/>
      <w:szCs w:val="20"/>
    </w:rPr>
  </w:style>
  <w:style w:type="character" w:styleId="1051" w:customStyle="1">
    <w:name w:val="Тема примечания Знак"/>
    <w:basedOn w:val="1048"/>
    <w:link w:val="1052"/>
    <w:uiPriority w:val="99"/>
    <w:semiHidden/>
    <w:rPr>
      <w:b/>
      <w:bCs/>
      <w:sz w:val="20"/>
      <w:szCs w:val="20"/>
    </w:rPr>
  </w:style>
  <w:style w:type="paragraph" w:styleId="1052">
    <w:name w:val="annotation subject"/>
    <w:basedOn w:val="1049"/>
    <w:next w:val="1049"/>
    <w:link w:val="1051"/>
    <w:uiPriority w:val="99"/>
    <w:semiHidden/>
    <w:unhideWhenUsed/>
    <w:rPr>
      <w:b/>
      <w:bCs/>
    </w:rPr>
  </w:style>
  <w:style w:type="character" w:styleId="1053" w:customStyle="1">
    <w:name w:val="Тема примечания Знак1"/>
    <w:basedOn w:val="1050"/>
    <w:uiPriority w:val="99"/>
    <w:semiHidden/>
    <w:rPr>
      <w:b/>
      <w:bCs/>
      <w:sz w:val="20"/>
      <w:szCs w:val="20"/>
    </w:rPr>
  </w:style>
  <w:style w:type="paragraph" w:styleId="1054">
    <w:name w:val="Footer"/>
    <w:basedOn w:val="1017"/>
    <w:link w:val="1055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1055" w:customStyle="1">
    <w:name w:val="Нижний колонтитул Знак"/>
    <w:basedOn w:val="1021"/>
    <w:link w:val="1054"/>
    <w:uiPriority w:val="99"/>
  </w:style>
  <w:style w:type="paragraph" w:styleId="1056" w:customStyle="1">
    <w:name w:val="Style4"/>
    <w:basedOn w:val="1017"/>
    <w:uiPriority w:val="99"/>
    <w:pPr>
      <w:ind w:firstLine="845"/>
      <w:jc w:val="both"/>
      <w:spacing w:after="0" w:line="323" w:lineRule="exact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1057" w:customStyle="1">
    <w:name w:val="Font Style20"/>
    <w:basedOn w:val="1021"/>
    <w:uiPriority w:val="99"/>
    <w:rPr>
      <w:rFonts w:ascii="Times New Roman" w:hAnsi="Times New Roman" w:cs="Times New Roman"/>
      <w:sz w:val="26"/>
      <w:szCs w:val="26"/>
    </w:rPr>
  </w:style>
  <w:style w:type="paragraph" w:styleId="1058" w:customStyle="1">
    <w:name w:val="Style8"/>
    <w:basedOn w:val="1017"/>
    <w:uiPriority w:val="99"/>
    <w:pPr>
      <w:jc w:val="both"/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1059" w:customStyle="1">
    <w:name w:val="ConsPlusTitle"/>
    <w:uiPriority w:val="99"/>
    <w:pPr>
      <w:spacing w:after="0" w:line="240" w:lineRule="auto"/>
      <w:widowControl w:val="off"/>
    </w:pPr>
    <w:rPr>
      <w:rFonts w:ascii="Arial" w:hAnsi="Arial" w:eastAsia="Times New Roman" w:cs="Arial"/>
      <w:b/>
      <w:bCs/>
      <w:sz w:val="20"/>
      <w:szCs w:val="20"/>
      <w:lang w:eastAsia="ru-RU"/>
    </w:rPr>
  </w:style>
  <w:style w:type="character" w:styleId="1060" w:customStyle="1">
    <w:name w:val="Без интервала Знак"/>
    <w:link w:val="1047"/>
    <w:uiPriority w:val="1"/>
  </w:style>
  <w:style w:type="paragraph" w:styleId="1061" w:customStyle="1">
    <w:name w:val="Style11"/>
    <w:basedOn w:val="1017"/>
    <w:uiPriority w:val="99"/>
    <w:pPr>
      <w:jc w:val="both"/>
      <w:spacing w:after="0" w:line="371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1062" w:customStyle="1">
    <w:name w:val="Заголовок 3 Знак"/>
    <w:basedOn w:val="1021"/>
    <w:link w:val="1020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paragraph" w:styleId="1063" w:customStyle="1">
    <w:name w:val="Style17"/>
    <w:basedOn w:val="1017"/>
    <w:uiPriority w:val="99"/>
    <w:pPr>
      <w:ind w:firstLine="706"/>
      <w:jc w:val="both"/>
      <w:spacing w:after="0" w:line="370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64" w:customStyle="1">
    <w:name w:val="u"/>
    <w:basedOn w:val="1017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65" w:customStyle="1">
    <w:name w:val="Сетка таблицы1"/>
    <w:basedOn w:val="1022"/>
    <w:next w:val="1034"/>
    <w:uiPriority w:val="3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66" w:customStyle="1">
    <w:name w:val="Абзац списка"/>
    <w:uiPriority w:val="34"/>
    <w:qFormat/>
    <w:pPr>
      <w:contextualSpacing/>
      <w:ind w:left="720" w:right="0" w:firstLine="709"/>
      <w:jc w:val="both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67" w:customStyle="1">
    <w:name w:val="Обычный (веб)"/>
    <w:uiPriority w:val="99"/>
    <w:unhideWhenUsed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68" w:customStyle="1">
    <w:name w:val="Текст сноски"/>
    <w:uiPriority w:val="99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en-US" w:eastAsia="ru-RU" w:bidi="ar-SA"/>
      <w14:ligatures w14:val="none"/>
    </w:rPr>
  </w:style>
  <w:style w:type="character" w:styleId="1069" w:customStyle="1">
    <w:name w:val="Знак сноски"/>
    <w:uiPriority w:val="99"/>
    <w:semiHidden/>
    <w:rPr>
      <w:vertAlign w:val="superscript"/>
    </w:rPr>
  </w:style>
  <w:style w:type="paragraph" w:styleId="1070" w:customStyle="1">
    <w:name w:val="Style1"/>
    <w:uiPriority w:val="99"/>
    <w:pPr>
      <w:contextualSpacing w:val="0"/>
      <w:ind w:left="0" w:right="0" w:firstLine="713"/>
      <w:jc w:val="both"/>
      <w:keepLines w:val="0"/>
      <w:keepNext w:val="0"/>
      <w:pageBreakBefore w:val="0"/>
      <w:spacing w:before="0" w:beforeAutospacing="0" w:after="0" w:afterAutospacing="0" w:line="356" w:lineRule="exact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71" w:customStyle="1">
    <w:name w:val="Default"/>
    <w:next w:val="1018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character" w:styleId="1072" w:customStyle="1">
    <w:name w:val="Гиперссылка"/>
    <w:uiPriority w:val="99"/>
    <w:rPr>
      <w:color w:val="0000ff"/>
      <w:u w:val="single"/>
    </w:rPr>
  </w:style>
  <w:style w:type="paragraph" w:styleId="1073" w:customStyle="1">
    <w:name w:val="Без интервала"/>
    <w:next w:val="927"/>
    <w:link w:val="855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alibri" w:hAnsi="Calibri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ru-RU" w:eastAsia="en-US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jp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png"/><Relationship Id="rId27" Type="http://schemas.openxmlformats.org/officeDocument/2006/relationships/image" Target="media/image17.png"/><Relationship Id="rId28" Type="http://schemas.openxmlformats.org/officeDocument/2006/relationships/image" Target="media/image18.png"/><Relationship Id="rId29" Type="http://schemas.openxmlformats.org/officeDocument/2006/relationships/image" Target="media/image19.png"/><Relationship Id="rId30" Type="http://schemas.openxmlformats.org/officeDocument/2006/relationships/image" Target="media/image20.png"/><Relationship Id="rId31" Type="http://schemas.openxmlformats.org/officeDocument/2006/relationships/image" Target="media/image21.png"/><Relationship Id="rId32" Type="http://schemas.openxmlformats.org/officeDocument/2006/relationships/image" Target="media/image22.png"/><Relationship Id="rId33" Type="http://schemas.openxmlformats.org/officeDocument/2006/relationships/image" Target="media/image23.png"/><Relationship Id="rId34" Type="http://schemas.openxmlformats.org/officeDocument/2006/relationships/image" Target="media/image24.png"/><Relationship Id="rId35" Type="http://schemas.openxmlformats.org/officeDocument/2006/relationships/image" Target="media/image25.png"/><Relationship Id="rId36" Type="http://schemas.openxmlformats.org/officeDocument/2006/relationships/image" Target="media/image26.png"/><Relationship Id="rId37" Type="http://schemas.openxmlformats.org/officeDocument/2006/relationships/image" Target="media/image27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D1D05F-EA87-412F-94C7-22C86E3B3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Р7-Офис/2024.3.2.551</Application>
  <Company>Microsoft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ziaa</dc:creator>
  <cp:keywords/>
  <dc:description/>
  <cp:revision>65</cp:revision>
  <dcterms:created xsi:type="dcterms:W3CDTF">2023-01-26T03:20:00Z</dcterms:created>
  <dcterms:modified xsi:type="dcterms:W3CDTF">2025-03-07T03:09:55Z</dcterms:modified>
</cp:coreProperties>
</file>